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87" w:rsidRPr="000C7587" w:rsidRDefault="000C7587" w:rsidP="000C7587">
      <w:pPr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75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2D77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AE4B77" w:rsidRPr="000C75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0C7587" w:rsidRDefault="000C7587" w:rsidP="00D276FF">
      <w:pPr>
        <w:autoSpaceDE w:val="0"/>
        <w:autoSpaceDN w:val="0"/>
        <w:adjustRightInd w:val="0"/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D276FF" w:rsidRDefault="00444E96" w:rsidP="000C7587">
      <w:pPr>
        <w:autoSpaceDE w:val="0"/>
        <w:autoSpaceDN w:val="0"/>
        <w:adjustRightInd w:val="0"/>
        <w:spacing w:after="0" w:line="240" w:lineRule="auto"/>
        <w:ind w:left="2544" w:firstLine="382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D276FF" w:rsidRDefault="00444E96" w:rsidP="00D276F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D276FF" w:rsidRDefault="00591CDA" w:rsidP="00D276F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2402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6653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444E96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D276FF" w:rsidRDefault="00444E96" w:rsidP="00D276F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2402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6653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D276FF" w:rsidRDefault="00444E96" w:rsidP="00D276FF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D276FF" w:rsidRDefault="00E47F03" w:rsidP="00D2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D276FF" w:rsidRDefault="00E47F03" w:rsidP="00D2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7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D27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D276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D276FF" w:rsidRDefault="00CA4D11" w:rsidP="00D27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65391" w:rsidRDefault="004B4B96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6FF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D276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r w:rsidRPr="00D276FF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</w:t>
      </w:r>
      <w:r w:rsidR="00B609E6">
        <w:rPr>
          <w:rFonts w:ascii="Times New Roman" w:hAnsi="Times New Roman" w:cs="Times New Roman"/>
          <w:sz w:val="20"/>
          <w:szCs w:val="20"/>
        </w:rPr>
        <w:t>также</w:t>
      </w:r>
      <w:r w:rsidRPr="00D276FF">
        <w:rPr>
          <w:rFonts w:ascii="Times New Roman" w:hAnsi="Times New Roman" w:cs="Times New Roman"/>
          <w:sz w:val="20"/>
          <w:szCs w:val="20"/>
        </w:rPr>
        <w:t xml:space="preserve"> Общество), рассмотрев представленные материалы, утверждает настоящее </w:t>
      </w:r>
      <w:r w:rsidRPr="00501705">
        <w:rPr>
          <w:rFonts w:ascii="Times New Roman" w:hAnsi="Times New Roman" w:cs="Times New Roman"/>
          <w:sz w:val="20"/>
          <w:szCs w:val="20"/>
        </w:rPr>
        <w:t xml:space="preserve">заключение для целей голосования на  </w:t>
      </w:r>
      <w:r w:rsidR="00DF2E76" w:rsidRPr="00501705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Pr="00501705">
        <w:rPr>
          <w:rFonts w:ascii="Times New Roman" w:hAnsi="Times New Roman" w:cs="Times New Roman"/>
          <w:sz w:val="20"/>
          <w:szCs w:val="20"/>
        </w:rPr>
        <w:t xml:space="preserve">Общем собрании акционеров АО «Богучанская ГЭС» </w:t>
      </w:r>
      <w:r w:rsidR="00501705" w:rsidRPr="00501705">
        <w:rPr>
          <w:rFonts w:ascii="Times New Roman" w:hAnsi="Times New Roman" w:cs="Times New Roman"/>
          <w:sz w:val="20"/>
          <w:szCs w:val="20"/>
        </w:rPr>
        <w:t>«</w:t>
      </w:r>
      <w:r w:rsidR="00895EF0">
        <w:rPr>
          <w:rFonts w:ascii="Times New Roman" w:hAnsi="Times New Roman" w:cs="Times New Roman"/>
          <w:sz w:val="20"/>
          <w:szCs w:val="20"/>
        </w:rPr>
        <w:t>06</w:t>
      </w:r>
      <w:r w:rsidR="00501705" w:rsidRPr="00501705">
        <w:rPr>
          <w:rFonts w:ascii="Times New Roman" w:hAnsi="Times New Roman" w:cs="Times New Roman"/>
          <w:sz w:val="20"/>
          <w:szCs w:val="20"/>
        </w:rPr>
        <w:t>»</w:t>
      </w:r>
      <w:r w:rsidR="00A3165C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D24555">
        <w:rPr>
          <w:rFonts w:ascii="Times New Roman" w:hAnsi="Times New Roman" w:cs="Times New Roman"/>
          <w:sz w:val="20"/>
          <w:szCs w:val="20"/>
        </w:rPr>
        <w:t xml:space="preserve"> </w:t>
      </w:r>
      <w:r w:rsidR="00266716" w:rsidRPr="00501705">
        <w:rPr>
          <w:rFonts w:ascii="Times New Roman" w:hAnsi="Times New Roman" w:cs="Times New Roman"/>
          <w:sz w:val="20"/>
          <w:szCs w:val="20"/>
        </w:rPr>
        <w:t>20</w:t>
      </w:r>
      <w:r w:rsidR="00240234">
        <w:rPr>
          <w:rFonts w:ascii="Times New Roman" w:hAnsi="Times New Roman" w:cs="Times New Roman"/>
          <w:sz w:val="20"/>
          <w:szCs w:val="20"/>
        </w:rPr>
        <w:t>2</w:t>
      </w:r>
      <w:r w:rsidR="00665391">
        <w:rPr>
          <w:rFonts w:ascii="Times New Roman" w:hAnsi="Times New Roman" w:cs="Times New Roman"/>
          <w:sz w:val="20"/>
          <w:szCs w:val="20"/>
        </w:rPr>
        <w:t>2</w:t>
      </w:r>
      <w:r w:rsidR="00A3165C">
        <w:rPr>
          <w:rFonts w:ascii="Times New Roman" w:hAnsi="Times New Roman" w:cs="Times New Roman"/>
          <w:sz w:val="20"/>
          <w:szCs w:val="20"/>
        </w:rPr>
        <w:t xml:space="preserve"> </w:t>
      </w:r>
      <w:r w:rsidRPr="00501705">
        <w:rPr>
          <w:rFonts w:ascii="Times New Roman" w:hAnsi="Times New Roman" w:cs="Times New Roman"/>
          <w:sz w:val="20"/>
          <w:szCs w:val="20"/>
        </w:rPr>
        <w:t>г. по</w:t>
      </w:r>
      <w:r w:rsidRPr="00D276FF">
        <w:rPr>
          <w:rFonts w:ascii="Times New Roman" w:hAnsi="Times New Roman" w:cs="Times New Roman"/>
          <w:sz w:val="20"/>
          <w:szCs w:val="20"/>
        </w:rPr>
        <w:t xml:space="preserve"> вопросу </w:t>
      </w:r>
      <w:r w:rsidR="00B609E6">
        <w:rPr>
          <w:rFonts w:ascii="Times New Roman" w:hAnsi="Times New Roman" w:cs="Times New Roman"/>
          <w:sz w:val="20"/>
          <w:szCs w:val="20"/>
        </w:rPr>
        <w:br/>
        <w:t>«О предоставлении</w:t>
      </w:r>
      <w:r w:rsidRPr="00D276FF">
        <w:rPr>
          <w:rFonts w:ascii="Times New Roman" w:hAnsi="Times New Roman" w:cs="Times New Roman"/>
          <w:sz w:val="20"/>
          <w:szCs w:val="20"/>
        </w:rPr>
        <w:t xml:space="preserve"> согласи</w:t>
      </w:r>
      <w:r w:rsidR="00B609E6">
        <w:rPr>
          <w:rFonts w:ascii="Times New Roman" w:hAnsi="Times New Roman" w:cs="Times New Roman"/>
          <w:sz w:val="20"/>
          <w:szCs w:val="20"/>
        </w:rPr>
        <w:t>я</w:t>
      </w:r>
      <w:r w:rsidRPr="00D276FF">
        <w:rPr>
          <w:rFonts w:ascii="Times New Roman" w:hAnsi="Times New Roman" w:cs="Times New Roman"/>
          <w:sz w:val="20"/>
          <w:szCs w:val="20"/>
        </w:rPr>
        <w:t xml:space="preserve"> на совершение </w:t>
      </w:r>
      <w:r w:rsidR="000F0D14" w:rsidRPr="00D276FF">
        <w:rPr>
          <w:rFonts w:ascii="Times New Roman" w:hAnsi="Times New Roman" w:cs="Times New Roman"/>
          <w:sz w:val="20"/>
          <w:szCs w:val="20"/>
        </w:rPr>
        <w:t xml:space="preserve">крупной </w:t>
      </w:r>
      <w:r w:rsidRPr="00D276FF">
        <w:rPr>
          <w:rFonts w:ascii="Times New Roman" w:hAnsi="Times New Roman" w:cs="Times New Roman"/>
          <w:sz w:val="20"/>
          <w:szCs w:val="20"/>
        </w:rPr>
        <w:t>сделки</w:t>
      </w:r>
      <w:r w:rsidR="004115C6" w:rsidRPr="00D276FF">
        <w:rPr>
          <w:rFonts w:ascii="Times New Roman" w:hAnsi="Times New Roman" w:cs="Times New Roman"/>
          <w:sz w:val="20"/>
          <w:szCs w:val="20"/>
        </w:rPr>
        <w:t xml:space="preserve"> - </w:t>
      </w:r>
      <w:r w:rsidR="00665391" w:rsidRPr="00665391">
        <w:rPr>
          <w:rFonts w:ascii="Times New Roman" w:hAnsi="Times New Roman" w:cs="Times New Roman"/>
          <w:sz w:val="20"/>
          <w:szCs w:val="20"/>
        </w:rPr>
        <w:t>Договоре залога недвижимого имущества (ипотеки) № 110200/1168-ДИ, заключенном между Государственной корпорацией развития «ВЭБ.РФ» и Акционерным обществом «Богучанская ГЭС» 24.03.2011</w:t>
      </w:r>
      <w:r w:rsidR="002D77AF">
        <w:rPr>
          <w:rFonts w:ascii="Times New Roman" w:hAnsi="Times New Roman" w:cs="Times New Roman"/>
          <w:sz w:val="20"/>
          <w:szCs w:val="20"/>
        </w:rPr>
        <w:t xml:space="preserve"> </w:t>
      </w:r>
      <w:r w:rsidR="002D77AF" w:rsidRPr="00665391">
        <w:rPr>
          <w:rFonts w:ascii="Times New Roman" w:hAnsi="Times New Roman" w:cs="Times New Roman"/>
          <w:sz w:val="20"/>
          <w:szCs w:val="20"/>
        </w:rPr>
        <w:t>(далее – Договор)</w:t>
      </w:r>
      <w:r w:rsidR="00665391" w:rsidRPr="00665391">
        <w:rPr>
          <w:rFonts w:ascii="Times New Roman" w:hAnsi="Times New Roman" w:cs="Times New Roman"/>
          <w:sz w:val="20"/>
          <w:szCs w:val="20"/>
        </w:rPr>
        <w:t>, на измененных условиях, определенных Дополнением № 7 к Договору</w:t>
      </w:r>
      <w:r w:rsidR="00A3165C">
        <w:rPr>
          <w:rFonts w:ascii="Times New Roman" w:hAnsi="Times New Roman" w:cs="Times New Roman"/>
          <w:sz w:val="20"/>
          <w:szCs w:val="20"/>
        </w:rPr>
        <w:t xml:space="preserve"> (далее – Дополнение, Сделка)</w:t>
      </w:r>
      <w:r w:rsidR="00665391" w:rsidRPr="00665391">
        <w:rPr>
          <w:rFonts w:ascii="Times New Roman" w:hAnsi="Times New Roman" w:cs="Times New Roman"/>
          <w:sz w:val="20"/>
          <w:szCs w:val="20"/>
        </w:rPr>
        <w:t xml:space="preserve">, который во взаимосвязи с Кредитным соглашением № 110100/1168 от 01.12.2010 </w:t>
      </w:r>
      <w:r w:rsidR="00A3165C">
        <w:rPr>
          <w:rFonts w:ascii="Times New Roman" w:hAnsi="Times New Roman" w:cs="Times New Roman"/>
          <w:sz w:val="20"/>
          <w:szCs w:val="20"/>
        </w:rPr>
        <w:t xml:space="preserve">(далее – Кредитное соглашение) </w:t>
      </w:r>
      <w:r w:rsidR="00665391" w:rsidRPr="00665391">
        <w:rPr>
          <w:rFonts w:ascii="Times New Roman" w:hAnsi="Times New Roman" w:cs="Times New Roman"/>
          <w:sz w:val="20"/>
          <w:szCs w:val="20"/>
        </w:rPr>
        <w:t>является крупной сделкой</w:t>
      </w:r>
      <w:r w:rsidR="00110963">
        <w:rPr>
          <w:rFonts w:ascii="Times New Roman" w:hAnsi="Times New Roman" w:cs="Times New Roman"/>
          <w:sz w:val="20"/>
          <w:szCs w:val="20"/>
        </w:rPr>
        <w:t>»</w:t>
      </w:r>
      <w:r w:rsidR="00665391">
        <w:rPr>
          <w:rFonts w:ascii="Times New Roman" w:hAnsi="Times New Roman" w:cs="Times New Roman"/>
          <w:sz w:val="20"/>
          <w:szCs w:val="20"/>
        </w:rPr>
        <w:t>.</w:t>
      </w:r>
    </w:p>
    <w:p w:rsidR="00665391" w:rsidRPr="009E761E" w:rsidRDefault="00665391" w:rsidP="00D276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B4B96" w:rsidRPr="009E761E" w:rsidRDefault="004B4B96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761E">
        <w:rPr>
          <w:rFonts w:ascii="Times New Roman" w:hAnsi="Times New Roman" w:cs="Times New Roman"/>
          <w:sz w:val="20"/>
          <w:szCs w:val="20"/>
          <w:u w:val="single"/>
        </w:rPr>
        <w:t xml:space="preserve">Стороны </w:t>
      </w:r>
      <w:r w:rsidR="00A3165C" w:rsidRPr="009E761E">
        <w:rPr>
          <w:rFonts w:ascii="Times New Roman" w:hAnsi="Times New Roman" w:cs="Times New Roman"/>
          <w:sz w:val="20"/>
          <w:szCs w:val="20"/>
          <w:u w:val="single"/>
        </w:rPr>
        <w:t>С</w:t>
      </w:r>
      <w:r w:rsidRPr="009E761E">
        <w:rPr>
          <w:rFonts w:ascii="Times New Roman" w:hAnsi="Times New Roman" w:cs="Times New Roman"/>
          <w:sz w:val="20"/>
          <w:szCs w:val="20"/>
          <w:u w:val="single"/>
        </w:rPr>
        <w:t xml:space="preserve">делки: </w:t>
      </w:r>
    </w:p>
    <w:p w:rsidR="00665391" w:rsidRPr="009E761E" w:rsidRDefault="00665391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E761E">
        <w:rPr>
          <w:rFonts w:ascii="Times New Roman" w:hAnsi="Times New Roman" w:cs="Times New Roman"/>
          <w:sz w:val="20"/>
          <w:szCs w:val="20"/>
        </w:rPr>
        <w:t>Залогодатель или Заемщик – АО «Богучанская ГЭС»;</w:t>
      </w:r>
    </w:p>
    <w:p w:rsidR="00665391" w:rsidRPr="009E761E" w:rsidRDefault="00665391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761E">
        <w:rPr>
          <w:rFonts w:ascii="Times New Roman" w:hAnsi="Times New Roman" w:cs="Times New Roman"/>
          <w:sz w:val="20"/>
          <w:szCs w:val="20"/>
        </w:rPr>
        <w:t>Залогодержатель или Кредитор – Государственная корпорация развития «ВЭБ.РФ».</w:t>
      </w:r>
    </w:p>
    <w:p w:rsidR="004B4B96" w:rsidRPr="009E761E" w:rsidRDefault="00A3165C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761E">
        <w:rPr>
          <w:rFonts w:ascii="Times New Roman" w:hAnsi="Times New Roman" w:cs="Times New Roman"/>
          <w:sz w:val="20"/>
          <w:szCs w:val="20"/>
          <w:u w:val="single"/>
        </w:rPr>
        <w:t>Предмет Сделки</w:t>
      </w:r>
      <w:r w:rsidR="004B4B96" w:rsidRPr="009E761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77643" w:rsidRPr="009E761E" w:rsidRDefault="00877643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E761E">
        <w:rPr>
          <w:rFonts w:ascii="Times New Roman" w:hAnsi="Times New Roman" w:cs="Times New Roman"/>
          <w:bCs/>
          <w:sz w:val="20"/>
          <w:szCs w:val="20"/>
        </w:rPr>
        <w:t>Внесение следующих изменений в Договор: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15"/>
      <w:bookmarkStart w:id="1" w:name="p116"/>
      <w:bookmarkStart w:id="2" w:name="p118"/>
      <w:bookmarkStart w:id="3" w:name="p119"/>
      <w:bookmarkStart w:id="4" w:name="p122"/>
      <w:bookmarkStart w:id="5" w:name="p123"/>
      <w:bookmarkStart w:id="6" w:name="p124"/>
      <w:bookmarkStart w:id="7" w:name="p127"/>
      <w:bookmarkStart w:id="8" w:name="p129"/>
      <w:bookmarkStart w:id="9" w:name="p130"/>
      <w:bookmarkStart w:id="10" w:name="p1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3165C">
        <w:rPr>
          <w:rFonts w:ascii="Times New Roman" w:hAnsi="Times New Roman" w:cs="Times New Roman"/>
          <w:sz w:val="20"/>
          <w:szCs w:val="20"/>
        </w:rPr>
        <w:t>1. Изложить пункт 1.9. Статьи 1 Договора в следующей редакции: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«1.9. «Соглашение» - кредитное соглашение № 110100/1168 от 01.12.2010 в редакции Дополнения № 1 к нему, заключенного путем обмена письмами между Заемщиком и Кредитором (№ 3.4-980 от 16.02.2011 (Заемщик) и № 516/110400-АБ от 16.02.2011 (Кредитор)), Дополнения № 2 от 22.08.2011, Дополнения № 3 от 06.06.2012, Дополнения № 4 от 30.06.2014, Дополнения № 5 от 25.09.2014, Дополнения № 6 от 14.01.2015, Дополнения № 7 от 09.12.2015, Дополнения № 8 от 17.07.2017, Дополнения № 9 от 20.12.2017, Дополнения № 10 от 28.03.2019, Дополнения № 11 от 12.08.2020 к нему, заключенное между Кредитором и Заемщиком в г. Москве».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2. Изложить технические характеристики земельных участков № 1, № 4, № 14, указанных в</w:t>
      </w:r>
      <w:r w:rsidR="00F67CF8">
        <w:rPr>
          <w:rFonts w:ascii="Times New Roman" w:hAnsi="Times New Roman" w:cs="Times New Roman"/>
          <w:sz w:val="20"/>
          <w:szCs w:val="20"/>
        </w:rPr>
        <w:t xml:space="preserve"> пункте 2.1.1 Статьи 2 Договора (приложение к материалам внеочередного Общего собрания акционеров Общества)</w:t>
      </w:r>
      <w:r w:rsidRPr="00A3165C">
        <w:rPr>
          <w:rFonts w:ascii="Times New Roman" w:hAnsi="Times New Roman" w:cs="Times New Roman"/>
          <w:sz w:val="20"/>
          <w:szCs w:val="20"/>
        </w:rPr>
        <w:t>.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3. Исключить из перечня зданий и сооружений, передаваемых в залог Залогодержателю, указанных в пункте 2.1.2 Статьи 2 Дог</w:t>
      </w:r>
      <w:r w:rsidR="00F67CF8">
        <w:rPr>
          <w:rFonts w:ascii="Times New Roman" w:hAnsi="Times New Roman" w:cs="Times New Roman"/>
          <w:sz w:val="20"/>
          <w:szCs w:val="20"/>
        </w:rPr>
        <w:t>овора, «Объект недвижимости 23» (приложение к материалам внеочередного Общего собрания акционеров Общества)</w:t>
      </w:r>
      <w:r w:rsidRPr="00A3165C">
        <w:rPr>
          <w:rFonts w:ascii="Times New Roman" w:hAnsi="Times New Roman" w:cs="Times New Roman"/>
          <w:sz w:val="20"/>
          <w:szCs w:val="20"/>
        </w:rPr>
        <w:t>.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4. Исключить из состава Предмета залога вновь образованные земельные участки с кадастровыми номерами 24:20:0817001:1355, 24:20:0817001:1360, 24:20:1400004:543.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5. Изложить пункт 2.5 Статьи 2 Договора в следующей редакции: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«2.5. Залогодатель и Залогодержатель настоящим договорились о том, что  стоимость Предмета залога составляет 35 024 086 459,52 (Тридцать пять миллиардов двадцать четыре миллиона восемьдесят шесть тысяч четыреста пятьдесят девять 52/100) рублей, определенная на основании рыночной стоимости, указанной в отчете от 04.12.2013 № 17-250, предоставленном оценщиком ЗАО «АБМ Партнер», в отчете об оценке от 10.03.2015 № Н-19472/15 Богучанской ГЭС на р. Ангаре (1,2,3,4,5,6,7 этап), назначение: 3) сооружения гидротехнические, площадь застройки 1 175 725,30 кв. м., лит Г,В,В1,В4,В5,В6,Г1,В2,В3, принадлежащие Залогодателю, в отчете об оценке от 17.04.2015 № Н-19742/15 недвижимого имущества, принадлежащего Залогодателю, в отчете об оценке от 29.05.2019 № И-29533/18 недвижимого имущества, принадлежащего Залогодателю, в отчете об оценке от 24.02.2022 № Н-36614/22 земельных участков под кадастровыми номерами 24:20:0000000:1933, 24:20:0817001:1355, 24:20:0817001:545, 24:20:0817001:1360, 24:20:1400004:118, 24:20:1400004:543, предоставленных оценщиком ООО «ЛАИР», с учетом применения дисконта в размере 30 (Тридцать) процентов».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6. Изложить пункт 8.3 Статьи 8 Договора в следующей редакции: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 xml:space="preserve">«8.3. Информация, определенная Сторонами как конфиденциальная, не подлежит передаче третьим лицам, за исключением случаев, предусмотренных законодательством Российской Федерации, и положениями Договора. </w:t>
      </w:r>
    </w:p>
    <w:p w:rsidR="00A22BC8" w:rsidRPr="00A3165C" w:rsidRDefault="00A22BC8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Залогодержатель имеет право раскрывать информацию о Договоре, его условиях, Залогодателе, действиях, правах и обязанностях Сторон, возникающих из или в связи с Договором, иную информацию по Проекту, информацию об иных участниках Проекта и сделках, заключаемых Залогодателем и/или иными участниками Проекта в связи с Проектом, организациям ВЭБ.РФ (перечень определен в пункте 13 части 4 статьи 3 Федерального закона от 17.05.2007 № 82-ФЗ «О государственной корпорации развития «ВЭБ.РФ»), Акционерному обществу «Банк ДОМ.РФ» (ИНН 7725038124) и Обществу с ограниченной ответственностью «ДОМ.РФ Центр сопровождения» (ИНН 3666240353), а также профессиональным консультантам Залогодержателя (аудиторы, внешние юридические, финансовые и иные консультанты). Настоящим Залогодатель выражает согласие на передачу вышеперечисленной информации указанным лицам».</w:t>
      </w:r>
    </w:p>
    <w:p w:rsidR="001A4B7A" w:rsidRPr="009E761E" w:rsidRDefault="001A4B7A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E761E">
        <w:rPr>
          <w:rFonts w:ascii="Times New Roman" w:hAnsi="Times New Roman" w:cs="Times New Roman"/>
          <w:sz w:val="20"/>
          <w:szCs w:val="20"/>
          <w:u w:val="single"/>
        </w:rPr>
        <w:t xml:space="preserve">Цена Договора (с учетом </w:t>
      </w:r>
      <w:r w:rsidR="00A3165C" w:rsidRPr="009E761E">
        <w:rPr>
          <w:rFonts w:ascii="Times New Roman" w:hAnsi="Times New Roman" w:cs="Times New Roman"/>
          <w:sz w:val="20"/>
          <w:szCs w:val="20"/>
          <w:u w:val="single"/>
        </w:rPr>
        <w:t>Сделки</w:t>
      </w:r>
      <w:r w:rsidRPr="009E761E">
        <w:rPr>
          <w:rFonts w:ascii="Times New Roman" w:hAnsi="Times New Roman" w:cs="Times New Roman"/>
          <w:sz w:val="20"/>
          <w:szCs w:val="20"/>
          <w:u w:val="single"/>
        </w:rPr>
        <w:t xml:space="preserve">): </w:t>
      </w:r>
    </w:p>
    <w:p w:rsidR="00A3165C" w:rsidRPr="00A3165C" w:rsidRDefault="00A3165C" w:rsidP="00A3165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rFonts w:eastAsiaTheme="minorHAnsi"/>
          <w:color w:val="auto"/>
          <w:sz w:val="20"/>
          <w:lang w:eastAsia="en-US"/>
        </w:rPr>
      </w:pPr>
      <w:r w:rsidRPr="00A3165C">
        <w:rPr>
          <w:rFonts w:eastAsiaTheme="minorHAnsi"/>
          <w:color w:val="auto"/>
          <w:sz w:val="20"/>
          <w:lang w:eastAsia="en-US"/>
        </w:rPr>
        <w:t>Стоимость имущества, передаваемого в залог по Договору с учетом Дополнения, составляет 35 024 086 459,52 (Тридцать пять миллиардов двадцать четыре миллиона восемьдесят шесть тысяч четыреста пятьдесят девять 52/100) рублей.</w:t>
      </w:r>
    </w:p>
    <w:p w:rsidR="00A3165C" w:rsidRDefault="00A3165C" w:rsidP="00A3165C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B01763" w:rsidRPr="00A3165C" w:rsidRDefault="00B01763" w:rsidP="00A3165C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Б</w:t>
      </w:r>
      <w:r w:rsidR="00A3165C">
        <w:rPr>
          <w:rFonts w:ascii="Times New Roman" w:hAnsi="Times New Roman" w:cs="Times New Roman"/>
          <w:sz w:val="20"/>
          <w:szCs w:val="20"/>
        </w:rPr>
        <w:t>алансовая стоимость активов Общества</w:t>
      </w:r>
      <w:r w:rsidRPr="00A3165C">
        <w:rPr>
          <w:rFonts w:ascii="Times New Roman" w:hAnsi="Times New Roman" w:cs="Times New Roman"/>
          <w:sz w:val="20"/>
          <w:szCs w:val="20"/>
        </w:rPr>
        <w:t xml:space="preserve"> по состоянию на </w:t>
      </w:r>
      <w:r w:rsidR="00CE11D7" w:rsidRPr="00A3165C">
        <w:rPr>
          <w:rFonts w:ascii="Times New Roman" w:hAnsi="Times New Roman" w:cs="Times New Roman"/>
          <w:sz w:val="20"/>
          <w:szCs w:val="20"/>
        </w:rPr>
        <w:t xml:space="preserve">30.09.2010 </w:t>
      </w:r>
      <w:r w:rsidR="00A3165C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CE11D7" w:rsidRPr="00A3165C">
        <w:rPr>
          <w:rFonts w:ascii="Times New Roman" w:hAnsi="Times New Roman" w:cs="Times New Roman"/>
          <w:sz w:val="20"/>
          <w:szCs w:val="20"/>
        </w:rPr>
        <w:t>48 623 394 950 руб.</w:t>
      </w:r>
    </w:p>
    <w:p w:rsidR="00CE11D7" w:rsidRPr="00A3165C" w:rsidRDefault="00CE11D7" w:rsidP="00A3165C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 xml:space="preserve">Цена </w:t>
      </w:r>
      <w:r w:rsidR="00A3165C">
        <w:rPr>
          <w:rFonts w:ascii="Times New Roman" w:hAnsi="Times New Roman" w:cs="Times New Roman"/>
          <w:sz w:val="20"/>
          <w:szCs w:val="20"/>
        </w:rPr>
        <w:t>Договора (с учетом Сделки) во</w:t>
      </w:r>
      <w:r w:rsidRPr="00A3165C">
        <w:rPr>
          <w:rFonts w:ascii="Times New Roman" w:hAnsi="Times New Roman" w:cs="Times New Roman"/>
          <w:sz w:val="20"/>
          <w:szCs w:val="20"/>
        </w:rPr>
        <w:t xml:space="preserve"> взаимосвязи с Кредитным соглашением </w:t>
      </w:r>
      <w:r w:rsidR="00A3165C">
        <w:rPr>
          <w:rFonts w:ascii="Times New Roman" w:hAnsi="Times New Roman" w:cs="Times New Roman"/>
          <w:sz w:val="20"/>
          <w:szCs w:val="20"/>
        </w:rPr>
        <w:t>-</w:t>
      </w:r>
      <w:r w:rsidRPr="00A3165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F111A1" w:rsidRPr="00A3165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9</w:t>
      </w:r>
      <w:r w:rsidR="00673ACF" w:rsidRPr="00A3165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1 272 500 677,42</w:t>
      </w:r>
      <w:r w:rsidRPr="00A316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3165C">
        <w:rPr>
          <w:rFonts w:ascii="Times New Roman" w:hAnsi="Times New Roman" w:cs="Times New Roman"/>
          <w:sz w:val="20"/>
          <w:szCs w:val="20"/>
        </w:rPr>
        <w:t xml:space="preserve">руб., что составляет </w:t>
      </w:r>
      <w:r w:rsidR="00F111A1" w:rsidRPr="00A3165C">
        <w:rPr>
          <w:rFonts w:ascii="Times New Roman" w:hAnsi="Times New Roman" w:cs="Times New Roman"/>
          <w:sz w:val="20"/>
          <w:szCs w:val="20"/>
        </w:rPr>
        <w:t>1</w:t>
      </w:r>
      <w:r w:rsidR="00673ACF" w:rsidRPr="00A3165C">
        <w:rPr>
          <w:rFonts w:ascii="Times New Roman" w:hAnsi="Times New Roman" w:cs="Times New Roman"/>
          <w:sz w:val="20"/>
          <w:szCs w:val="20"/>
        </w:rPr>
        <w:t>87,713</w:t>
      </w:r>
      <w:r w:rsidRPr="00A3165C">
        <w:rPr>
          <w:rFonts w:ascii="Times New Roman" w:hAnsi="Times New Roman" w:cs="Times New Roman"/>
          <w:sz w:val="20"/>
          <w:szCs w:val="20"/>
        </w:rPr>
        <w:t xml:space="preserve"> % от балансово</w:t>
      </w:r>
      <w:r w:rsidR="00A3165C">
        <w:rPr>
          <w:rFonts w:ascii="Times New Roman" w:hAnsi="Times New Roman" w:cs="Times New Roman"/>
          <w:sz w:val="20"/>
          <w:szCs w:val="20"/>
        </w:rPr>
        <w:t>й стоимости активов Общества.</w:t>
      </w:r>
    </w:p>
    <w:p w:rsidR="00806C6F" w:rsidRPr="00A3165C" w:rsidRDefault="00806C6F" w:rsidP="00A316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A3165C" w:rsidRDefault="004B4B96" w:rsidP="00A316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65C">
        <w:rPr>
          <w:rFonts w:ascii="Times New Roman" w:hAnsi="Times New Roman" w:cs="Times New Roman"/>
          <w:b/>
          <w:sz w:val="20"/>
          <w:szCs w:val="20"/>
        </w:rPr>
        <w:t>Предпол</w:t>
      </w:r>
      <w:r w:rsidR="00A3165C">
        <w:rPr>
          <w:rFonts w:ascii="Times New Roman" w:hAnsi="Times New Roman" w:cs="Times New Roman"/>
          <w:b/>
          <w:sz w:val="20"/>
          <w:szCs w:val="20"/>
        </w:rPr>
        <w:t xml:space="preserve">агаемые последствия </w:t>
      </w:r>
      <w:r w:rsidRPr="00A3165C">
        <w:rPr>
          <w:rFonts w:ascii="Times New Roman" w:hAnsi="Times New Roman" w:cs="Times New Roman"/>
          <w:b/>
          <w:sz w:val="20"/>
          <w:szCs w:val="20"/>
        </w:rPr>
        <w:t>для деятельности Общества</w:t>
      </w:r>
      <w:r w:rsidR="00690422">
        <w:rPr>
          <w:rFonts w:ascii="Times New Roman" w:hAnsi="Times New Roman" w:cs="Times New Roman"/>
          <w:b/>
          <w:sz w:val="20"/>
          <w:szCs w:val="20"/>
        </w:rPr>
        <w:t xml:space="preserve"> в результате</w:t>
      </w:r>
      <w:r w:rsidR="00690422" w:rsidRPr="006904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0422">
        <w:rPr>
          <w:rFonts w:ascii="Times New Roman" w:hAnsi="Times New Roman" w:cs="Times New Roman"/>
          <w:b/>
          <w:sz w:val="20"/>
          <w:szCs w:val="20"/>
        </w:rPr>
        <w:t>заключения С</w:t>
      </w:r>
      <w:r w:rsidR="00690422" w:rsidRPr="00A3165C">
        <w:rPr>
          <w:rFonts w:ascii="Times New Roman" w:hAnsi="Times New Roman" w:cs="Times New Roman"/>
          <w:b/>
          <w:sz w:val="20"/>
          <w:szCs w:val="20"/>
        </w:rPr>
        <w:t>делки</w:t>
      </w:r>
      <w:r w:rsidRPr="00A3165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B01763" w:rsidRPr="00A3165C" w:rsidRDefault="00B01763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highlight w:val="red"/>
        </w:rPr>
      </w:pPr>
      <w:r w:rsidRPr="00A3165C">
        <w:rPr>
          <w:rFonts w:ascii="Times New Roman" w:hAnsi="Times New Roman" w:cs="Times New Roman"/>
          <w:bCs/>
          <w:sz w:val="20"/>
          <w:szCs w:val="20"/>
        </w:rPr>
        <w:t>Негативных последствий не выя</w:t>
      </w:r>
      <w:r w:rsidR="00A3165C">
        <w:rPr>
          <w:rFonts w:ascii="Times New Roman" w:hAnsi="Times New Roman" w:cs="Times New Roman"/>
          <w:bCs/>
          <w:sz w:val="20"/>
          <w:szCs w:val="20"/>
        </w:rPr>
        <w:t>влено. В результате заключения С</w:t>
      </w:r>
      <w:r w:rsidRPr="00A3165C">
        <w:rPr>
          <w:rFonts w:ascii="Times New Roman" w:hAnsi="Times New Roman" w:cs="Times New Roman"/>
          <w:bCs/>
          <w:sz w:val="20"/>
          <w:szCs w:val="20"/>
        </w:rPr>
        <w:t xml:space="preserve">делки </w:t>
      </w:r>
      <w:r w:rsidR="001E0A71" w:rsidRPr="00A3165C">
        <w:rPr>
          <w:rFonts w:ascii="Times New Roman" w:hAnsi="Times New Roman" w:cs="Times New Roman"/>
          <w:bCs/>
          <w:sz w:val="20"/>
          <w:szCs w:val="20"/>
        </w:rPr>
        <w:t xml:space="preserve">изменяется </w:t>
      </w:r>
      <w:r w:rsidRPr="00A3165C">
        <w:rPr>
          <w:rFonts w:ascii="Times New Roman" w:hAnsi="Times New Roman" w:cs="Times New Roman"/>
          <w:bCs/>
          <w:sz w:val="20"/>
          <w:szCs w:val="20"/>
        </w:rPr>
        <w:t xml:space="preserve">объем обеспечительных обязательств Заемщика перед </w:t>
      </w:r>
      <w:r w:rsidR="00A3165C">
        <w:rPr>
          <w:rFonts w:ascii="Times New Roman" w:hAnsi="Times New Roman" w:cs="Times New Roman"/>
          <w:bCs/>
          <w:sz w:val="20"/>
          <w:szCs w:val="20"/>
        </w:rPr>
        <w:t>Кредитором</w:t>
      </w:r>
      <w:r w:rsidRPr="00A3165C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B01763" w:rsidRPr="00A3165C" w:rsidRDefault="00A3165C" w:rsidP="00A31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Заключение С</w:t>
      </w:r>
      <w:r w:rsidR="00B01763" w:rsidRPr="00A3165C">
        <w:rPr>
          <w:rFonts w:ascii="Times New Roman" w:hAnsi="Times New Roman" w:cs="Times New Roman"/>
          <w:bCs/>
          <w:sz w:val="20"/>
          <w:szCs w:val="20"/>
        </w:rPr>
        <w:t xml:space="preserve">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  </w:t>
      </w:r>
    </w:p>
    <w:p w:rsidR="00856D25" w:rsidRPr="00A3165C" w:rsidRDefault="00856D25" w:rsidP="00A31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4B4B96" w:rsidRPr="00A3165C" w:rsidRDefault="004B4B96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165C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0C05DB" w:rsidRPr="00A3165C" w:rsidRDefault="000C05DB" w:rsidP="00A31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 xml:space="preserve">Дополнением внесены изменения в </w:t>
      </w:r>
      <w:r w:rsidR="00A3165C">
        <w:rPr>
          <w:rFonts w:ascii="Times New Roman" w:hAnsi="Times New Roman" w:cs="Times New Roman"/>
          <w:sz w:val="20"/>
          <w:szCs w:val="20"/>
        </w:rPr>
        <w:t xml:space="preserve">Договор в части </w:t>
      </w:r>
      <w:r w:rsidRPr="00A3165C">
        <w:rPr>
          <w:rFonts w:ascii="Times New Roman" w:hAnsi="Times New Roman" w:cs="Times New Roman"/>
          <w:sz w:val="20"/>
          <w:szCs w:val="20"/>
        </w:rPr>
        <w:t>переч</w:t>
      </w:r>
      <w:r w:rsidR="00A3165C">
        <w:rPr>
          <w:rFonts w:ascii="Times New Roman" w:hAnsi="Times New Roman" w:cs="Times New Roman"/>
          <w:sz w:val="20"/>
          <w:szCs w:val="20"/>
        </w:rPr>
        <w:t>ня</w:t>
      </w:r>
      <w:r w:rsidRPr="00A3165C">
        <w:rPr>
          <w:rFonts w:ascii="Times New Roman" w:hAnsi="Times New Roman" w:cs="Times New Roman"/>
          <w:sz w:val="20"/>
          <w:szCs w:val="20"/>
        </w:rPr>
        <w:t xml:space="preserve"> и общ</w:t>
      </w:r>
      <w:r w:rsidR="00A3165C">
        <w:rPr>
          <w:rFonts w:ascii="Times New Roman" w:hAnsi="Times New Roman" w:cs="Times New Roman"/>
          <w:sz w:val="20"/>
          <w:szCs w:val="20"/>
        </w:rPr>
        <w:t>ей</w:t>
      </w:r>
      <w:r w:rsidRPr="00A3165C">
        <w:rPr>
          <w:rFonts w:ascii="Times New Roman" w:hAnsi="Times New Roman" w:cs="Times New Roman"/>
          <w:sz w:val="20"/>
          <w:szCs w:val="20"/>
        </w:rPr>
        <w:t xml:space="preserve"> залогов</w:t>
      </w:r>
      <w:r w:rsidR="00A3165C">
        <w:rPr>
          <w:rFonts w:ascii="Times New Roman" w:hAnsi="Times New Roman" w:cs="Times New Roman"/>
          <w:sz w:val="20"/>
          <w:szCs w:val="20"/>
        </w:rPr>
        <w:t>ой</w:t>
      </w:r>
      <w:r w:rsidRPr="00A3165C">
        <w:rPr>
          <w:rFonts w:ascii="Times New Roman" w:hAnsi="Times New Roman" w:cs="Times New Roman"/>
          <w:sz w:val="20"/>
          <w:szCs w:val="20"/>
        </w:rPr>
        <w:t xml:space="preserve"> стоимост</w:t>
      </w:r>
      <w:r w:rsidR="00A3165C">
        <w:rPr>
          <w:rFonts w:ascii="Times New Roman" w:hAnsi="Times New Roman" w:cs="Times New Roman"/>
          <w:sz w:val="20"/>
          <w:szCs w:val="20"/>
        </w:rPr>
        <w:t>и</w:t>
      </w:r>
      <w:r w:rsidRPr="00A3165C">
        <w:rPr>
          <w:rFonts w:ascii="Times New Roman" w:hAnsi="Times New Roman" w:cs="Times New Roman"/>
          <w:sz w:val="20"/>
          <w:szCs w:val="20"/>
        </w:rPr>
        <w:t xml:space="preserve"> недвижимого имущества, на которое </w:t>
      </w:r>
      <w:r w:rsidR="00A3165C">
        <w:rPr>
          <w:rFonts w:ascii="Times New Roman" w:hAnsi="Times New Roman" w:cs="Times New Roman"/>
          <w:sz w:val="20"/>
          <w:szCs w:val="20"/>
        </w:rPr>
        <w:t>Кредитор</w:t>
      </w:r>
      <w:r w:rsidRPr="00A3165C">
        <w:rPr>
          <w:rFonts w:ascii="Times New Roman" w:hAnsi="Times New Roman" w:cs="Times New Roman"/>
          <w:sz w:val="20"/>
          <w:szCs w:val="20"/>
        </w:rPr>
        <w:t xml:space="preserve"> может обратить взыскание </w:t>
      </w:r>
      <w:r w:rsidRPr="00A3165C">
        <w:rPr>
          <w:rFonts w:ascii="Times New Roman" w:hAnsi="Times New Roman" w:cs="Times New Roman"/>
          <w:iCs/>
          <w:sz w:val="20"/>
          <w:szCs w:val="20"/>
        </w:rPr>
        <w:t xml:space="preserve">преимущественно перед другими кредиторами, в случае неисполнения Обществом условий Кредитного соглашения. Таким образом, перечень имущества, которым Общество не имеет возможности распоряжаться без согласия </w:t>
      </w:r>
      <w:r w:rsidR="00A3165C">
        <w:rPr>
          <w:rFonts w:ascii="Times New Roman" w:hAnsi="Times New Roman" w:cs="Times New Roman"/>
          <w:iCs/>
          <w:sz w:val="20"/>
          <w:szCs w:val="20"/>
        </w:rPr>
        <w:t>Кредитора</w:t>
      </w:r>
      <w:r w:rsidR="002D77AF">
        <w:rPr>
          <w:rFonts w:ascii="Times New Roman" w:hAnsi="Times New Roman" w:cs="Times New Roman"/>
          <w:iCs/>
          <w:sz w:val="20"/>
          <w:szCs w:val="20"/>
        </w:rPr>
        <w:t>,</w:t>
      </w:r>
      <w:r w:rsidR="00A3165C">
        <w:rPr>
          <w:rFonts w:ascii="Times New Roman" w:hAnsi="Times New Roman" w:cs="Times New Roman"/>
          <w:iCs/>
          <w:sz w:val="20"/>
          <w:szCs w:val="20"/>
        </w:rPr>
        <w:t xml:space="preserve"> изменяется</w:t>
      </w:r>
      <w:r w:rsidRPr="00A3165C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:rsidR="000C05DB" w:rsidRPr="00A3165C" w:rsidRDefault="000C05DB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В то же время, в соответстви</w:t>
      </w:r>
      <w:r w:rsidR="00A3165C">
        <w:rPr>
          <w:rFonts w:ascii="Times New Roman" w:hAnsi="Times New Roman" w:cs="Times New Roman"/>
          <w:sz w:val="20"/>
          <w:szCs w:val="20"/>
        </w:rPr>
        <w:t>и</w:t>
      </w:r>
      <w:r w:rsidRPr="00A3165C">
        <w:rPr>
          <w:rFonts w:ascii="Times New Roman" w:hAnsi="Times New Roman" w:cs="Times New Roman"/>
          <w:sz w:val="20"/>
          <w:szCs w:val="20"/>
        </w:rPr>
        <w:t xml:space="preserve"> с пунктом 6.4.12 Кредитного соглашения, Общество обязано дополнительно передать </w:t>
      </w:r>
      <w:r w:rsidR="00A3165C">
        <w:rPr>
          <w:rFonts w:ascii="Times New Roman" w:hAnsi="Times New Roman" w:cs="Times New Roman"/>
          <w:sz w:val="20"/>
          <w:szCs w:val="20"/>
        </w:rPr>
        <w:t>Кредитору</w:t>
      </w:r>
      <w:r w:rsidRPr="00A3165C">
        <w:rPr>
          <w:rFonts w:ascii="Times New Roman" w:hAnsi="Times New Roman" w:cs="Times New Roman"/>
          <w:sz w:val="20"/>
          <w:szCs w:val="20"/>
        </w:rPr>
        <w:t xml:space="preserve"> в залог </w:t>
      </w:r>
      <w:r w:rsidRPr="00A3165C">
        <w:rPr>
          <w:rFonts w:ascii="Times New Roman" w:hAnsi="Times New Roman" w:cs="Times New Roman"/>
          <w:color w:val="000000" w:themeColor="text1"/>
          <w:sz w:val="20"/>
          <w:szCs w:val="20"/>
        </w:rPr>
        <w:t>все приобретенные права на земельные участки и вновь возведенные объекты недвижимости,</w:t>
      </w:r>
      <w:r w:rsidRPr="00A3165C">
        <w:rPr>
          <w:rFonts w:ascii="Times New Roman" w:hAnsi="Times New Roman" w:cs="Times New Roman"/>
          <w:sz w:val="20"/>
          <w:szCs w:val="20"/>
        </w:rPr>
        <w:t xml:space="preserve"> в противном случае в соответствии с пунктом 8.4. Кредитного соглашения, Общество уплачивает неустойку (пени) в размере 0,003% от суммы Кредита за каждый календарный день неисполнения указанного обязательства до даты устранения соответствующего нарушения. </w:t>
      </w:r>
    </w:p>
    <w:p w:rsidR="000C05DB" w:rsidRPr="00A3165C" w:rsidRDefault="000C05DB" w:rsidP="00A316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>Таким образом, выполняя требования пункта 6.4.12 Кредитного соглашения (заключая Дополнение)</w:t>
      </w:r>
      <w:r w:rsidR="00A3165C">
        <w:rPr>
          <w:rFonts w:ascii="Times New Roman" w:hAnsi="Times New Roman" w:cs="Times New Roman"/>
          <w:sz w:val="20"/>
          <w:szCs w:val="20"/>
        </w:rPr>
        <w:t>,</w:t>
      </w:r>
      <w:r w:rsidRPr="00A3165C">
        <w:rPr>
          <w:rFonts w:ascii="Times New Roman" w:hAnsi="Times New Roman" w:cs="Times New Roman"/>
          <w:sz w:val="20"/>
          <w:szCs w:val="20"/>
        </w:rPr>
        <w:t xml:space="preserve"> Общество исключает риск наступления негативных последствий, указанных в пункте 8.4. Кредитного соглашения. Какие-либо риски </w:t>
      </w:r>
      <w:r w:rsidRPr="00A3165C">
        <w:rPr>
          <w:rFonts w:ascii="Times New Roman" w:hAnsi="Times New Roman" w:cs="Times New Roman"/>
          <w:iCs/>
          <w:sz w:val="20"/>
          <w:szCs w:val="20"/>
        </w:rPr>
        <w:t>для деятельности Общества,</w:t>
      </w:r>
      <w:r w:rsidRPr="00A3165C">
        <w:rPr>
          <w:rFonts w:ascii="Times New Roman" w:hAnsi="Times New Roman" w:cs="Times New Roman"/>
          <w:sz w:val="20"/>
          <w:szCs w:val="20"/>
        </w:rPr>
        <w:t xml:space="preserve"> вызванные </w:t>
      </w:r>
      <w:r w:rsidRPr="00A3165C">
        <w:rPr>
          <w:rFonts w:ascii="Times New Roman" w:hAnsi="Times New Roman" w:cs="Times New Roman"/>
          <w:iCs/>
          <w:sz w:val="20"/>
          <w:szCs w:val="20"/>
        </w:rPr>
        <w:t>заключением Дополнения отсутствуют.</w:t>
      </w:r>
    </w:p>
    <w:p w:rsidR="000C05DB" w:rsidRPr="00A3165C" w:rsidRDefault="000C05DB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A3165C" w:rsidRDefault="00A3165C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Целесообразность заключения С</w:t>
      </w:r>
      <w:r w:rsidR="004B4B96" w:rsidRPr="00A3165C">
        <w:rPr>
          <w:rFonts w:ascii="Times New Roman" w:hAnsi="Times New Roman" w:cs="Times New Roman"/>
          <w:b/>
          <w:sz w:val="20"/>
          <w:szCs w:val="20"/>
        </w:rPr>
        <w:t>делки:</w:t>
      </w:r>
    </w:p>
    <w:p w:rsidR="00A245D2" w:rsidRPr="00A3165C" w:rsidRDefault="004B4B96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65C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A3165C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A3165C">
        <w:rPr>
          <w:rFonts w:ascii="Times New Roman" w:hAnsi="Times New Roman" w:cs="Times New Roman"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B01763" w:rsidRPr="00A3165C">
        <w:rPr>
          <w:rFonts w:ascii="Times New Roman" w:hAnsi="Times New Roman" w:cs="Times New Roman"/>
          <w:sz w:val="20"/>
          <w:szCs w:val="20"/>
        </w:rPr>
        <w:t xml:space="preserve">внеочередном </w:t>
      </w:r>
      <w:r w:rsidR="00CB70C4" w:rsidRPr="00A3165C">
        <w:rPr>
          <w:rFonts w:ascii="Times New Roman" w:hAnsi="Times New Roman" w:cs="Times New Roman"/>
          <w:sz w:val="20"/>
          <w:szCs w:val="20"/>
        </w:rPr>
        <w:t xml:space="preserve">Общем собрании акционеров Общества </w:t>
      </w:r>
      <w:r w:rsidR="00501705" w:rsidRPr="00A3165C">
        <w:rPr>
          <w:rFonts w:ascii="Times New Roman" w:hAnsi="Times New Roman" w:cs="Times New Roman"/>
          <w:sz w:val="20"/>
          <w:szCs w:val="20"/>
        </w:rPr>
        <w:t>«</w:t>
      </w:r>
      <w:r w:rsidR="00895EF0">
        <w:rPr>
          <w:rFonts w:ascii="Times New Roman" w:hAnsi="Times New Roman" w:cs="Times New Roman"/>
          <w:sz w:val="20"/>
          <w:szCs w:val="20"/>
        </w:rPr>
        <w:t>06</w:t>
      </w:r>
      <w:bookmarkStart w:id="11" w:name="_GoBack"/>
      <w:bookmarkEnd w:id="11"/>
      <w:r w:rsidR="00501705" w:rsidRPr="00A3165C">
        <w:rPr>
          <w:rFonts w:ascii="Times New Roman" w:hAnsi="Times New Roman" w:cs="Times New Roman"/>
          <w:sz w:val="20"/>
          <w:szCs w:val="20"/>
        </w:rPr>
        <w:t>»</w:t>
      </w:r>
      <w:r w:rsidR="00A3165C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D24555" w:rsidRPr="00A3165C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A3165C">
        <w:rPr>
          <w:rFonts w:ascii="Times New Roman" w:hAnsi="Times New Roman" w:cs="Times New Roman"/>
          <w:sz w:val="20"/>
          <w:szCs w:val="20"/>
        </w:rPr>
        <w:t>20</w:t>
      </w:r>
      <w:r w:rsidR="007B0ED2" w:rsidRPr="00A3165C">
        <w:rPr>
          <w:rFonts w:ascii="Times New Roman" w:hAnsi="Times New Roman" w:cs="Times New Roman"/>
          <w:sz w:val="20"/>
          <w:szCs w:val="20"/>
        </w:rPr>
        <w:t>2</w:t>
      </w:r>
      <w:r w:rsidR="000C05DB" w:rsidRPr="00A3165C">
        <w:rPr>
          <w:rFonts w:ascii="Times New Roman" w:hAnsi="Times New Roman" w:cs="Times New Roman"/>
          <w:sz w:val="20"/>
          <w:szCs w:val="20"/>
        </w:rPr>
        <w:t>2</w:t>
      </w:r>
      <w:r w:rsidR="00CB70C4" w:rsidRPr="00A3165C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DF2E76" w:rsidRPr="00A3165C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A3165C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проголосовать «ЗА» по вопросу о даче согласия (последующего одобрения) на заключение сделки.</w:t>
      </w:r>
    </w:p>
    <w:p w:rsidR="00BA71D1" w:rsidRPr="00A3165C" w:rsidRDefault="00BA71D1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0A71" w:rsidRPr="00A3165C" w:rsidRDefault="001E0A71" w:rsidP="00A31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1E0A71" w:rsidRPr="00A3165C" w:rsidSect="00B67FCC">
      <w:pgSz w:w="11906" w:h="16838"/>
      <w:pgMar w:top="426" w:right="707" w:bottom="284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70" w:rsidRDefault="003A2E70" w:rsidP="00B34F3C">
      <w:pPr>
        <w:spacing w:after="0" w:line="240" w:lineRule="auto"/>
      </w:pPr>
      <w:r>
        <w:separator/>
      </w:r>
    </w:p>
  </w:endnote>
  <w:endnote w:type="continuationSeparator" w:id="0">
    <w:p w:rsidR="003A2E70" w:rsidRDefault="003A2E70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70" w:rsidRDefault="003A2E70" w:rsidP="00B34F3C">
      <w:pPr>
        <w:spacing w:after="0" w:line="240" w:lineRule="auto"/>
      </w:pPr>
      <w:r>
        <w:separator/>
      </w:r>
    </w:p>
  </w:footnote>
  <w:footnote w:type="continuationSeparator" w:id="0">
    <w:p w:rsidR="003A2E70" w:rsidRDefault="003A2E70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 w15:restartNumberingAfterBreak="0">
    <w:nsid w:val="1A97590E"/>
    <w:multiLevelType w:val="hybridMultilevel"/>
    <w:tmpl w:val="8306E57A"/>
    <w:lvl w:ilvl="0" w:tplc="5A10A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 w15:restartNumberingAfterBreak="0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35469"/>
    <w:rsid w:val="0004422A"/>
    <w:rsid w:val="0004547C"/>
    <w:rsid w:val="000511CC"/>
    <w:rsid w:val="000900E1"/>
    <w:rsid w:val="00095DEC"/>
    <w:rsid w:val="000A591D"/>
    <w:rsid w:val="000C05DB"/>
    <w:rsid w:val="000C16BC"/>
    <w:rsid w:val="000C7587"/>
    <w:rsid w:val="000D1A16"/>
    <w:rsid w:val="000E015D"/>
    <w:rsid w:val="000F0D14"/>
    <w:rsid w:val="00110963"/>
    <w:rsid w:val="001204DC"/>
    <w:rsid w:val="00120D82"/>
    <w:rsid w:val="00127BE6"/>
    <w:rsid w:val="00135080"/>
    <w:rsid w:val="001603A7"/>
    <w:rsid w:val="0019790B"/>
    <w:rsid w:val="001A4B7A"/>
    <w:rsid w:val="001A73C1"/>
    <w:rsid w:val="001C0070"/>
    <w:rsid w:val="001C0E63"/>
    <w:rsid w:val="001E0A71"/>
    <w:rsid w:val="002122CD"/>
    <w:rsid w:val="00220E56"/>
    <w:rsid w:val="002217D8"/>
    <w:rsid w:val="00230D14"/>
    <w:rsid w:val="00240234"/>
    <w:rsid w:val="002478EF"/>
    <w:rsid w:val="00250771"/>
    <w:rsid w:val="00261583"/>
    <w:rsid w:val="00265E4C"/>
    <w:rsid w:val="00266716"/>
    <w:rsid w:val="00285999"/>
    <w:rsid w:val="00293BE8"/>
    <w:rsid w:val="00295A05"/>
    <w:rsid w:val="002D1FC7"/>
    <w:rsid w:val="002D2B10"/>
    <w:rsid w:val="002D77AF"/>
    <w:rsid w:val="002F4764"/>
    <w:rsid w:val="002F6A00"/>
    <w:rsid w:val="00320E3D"/>
    <w:rsid w:val="0033467E"/>
    <w:rsid w:val="00340331"/>
    <w:rsid w:val="00344287"/>
    <w:rsid w:val="0035148E"/>
    <w:rsid w:val="0035198D"/>
    <w:rsid w:val="00352F6A"/>
    <w:rsid w:val="00362F16"/>
    <w:rsid w:val="0036476A"/>
    <w:rsid w:val="00370FF9"/>
    <w:rsid w:val="00382AA7"/>
    <w:rsid w:val="0039451B"/>
    <w:rsid w:val="003A2E70"/>
    <w:rsid w:val="003A456C"/>
    <w:rsid w:val="003A7E53"/>
    <w:rsid w:val="003D68F6"/>
    <w:rsid w:val="003D71CF"/>
    <w:rsid w:val="004079EE"/>
    <w:rsid w:val="004115C6"/>
    <w:rsid w:val="00416AF3"/>
    <w:rsid w:val="00433E21"/>
    <w:rsid w:val="00435F2E"/>
    <w:rsid w:val="00444E10"/>
    <w:rsid w:val="00444E96"/>
    <w:rsid w:val="00447468"/>
    <w:rsid w:val="00450200"/>
    <w:rsid w:val="0049749E"/>
    <w:rsid w:val="004B1F3A"/>
    <w:rsid w:val="004B3E79"/>
    <w:rsid w:val="004B4B96"/>
    <w:rsid w:val="004C5369"/>
    <w:rsid w:val="004C6648"/>
    <w:rsid w:val="004D3A99"/>
    <w:rsid w:val="004D7CFA"/>
    <w:rsid w:val="004E1612"/>
    <w:rsid w:val="00501705"/>
    <w:rsid w:val="005308D6"/>
    <w:rsid w:val="00536C2B"/>
    <w:rsid w:val="00542C1D"/>
    <w:rsid w:val="00571B42"/>
    <w:rsid w:val="00575FBB"/>
    <w:rsid w:val="00584983"/>
    <w:rsid w:val="0058566B"/>
    <w:rsid w:val="00591CDA"/>
    <w:rsid w:val="005A5DC1"/>
    <w:rsid w:val="005C1FDE"/>
    <w:rsid w:val="005C7743"/>
    <w:rsid w:val="005D1989"/>
    <w:rsid w:val="005E2973"/>
    <w:rsid w:val="005E3FD7"/>
    <w:rsid w:val="005E62E5"/>
    <w:rsid w:val="00612480"/>
    <w:rsid w:val="006439DA"/>
    <w:rsid w:val="0066068F"/>
    <w:rsid w:val="00665391"/>
    <w:rsid w:val="00666E2B"/>
    <w:rsid w:val="00673ACF"/>
    <w:rsid w:val="00674A14"/>
    <w:rsid w:val="006767BD"/>
    <w:rsid w:val="006825C6"/>
    <w:rsid w:val="00686C3E"/>
    <w:rsid w:val="00690422"/>
    <w:rsid w:val="006A5152"/>
    <w:rsid w:val="006B55A0"/>
    <w:rsid w:val="006E2020"/>
    <w:rsid w:val="006F1122"/>
    <w:rsid w:val="006F262D"/>
    <w:rsid w:val="006F72E7"/>
    <w:rsid w:val="00705272"/>
    <w:rsid w:val="00717656"/>
    <w:rsid w:val="00750BBC"/>
    <w:rsid w:val="007614C9"/>
    <w:rsid w:val="00763684"/>
    <w:rsid w:val="00775A1C"/>
    <w:rsid w:val="00776801"/>
    <w:rsid w:val="007861E3"/>
    <w:rsid w:val="00794AE7"/>
    <w:rsid w:val="0079787D"/>
    <w:rsid w:val="007A16B4"/>
    <w:rsid w:val="007B0ED2"/>
    <w:rsid w:val="007B17FE"/>
    <w:rsid w:val="007B2624"/>
    <w:rsid w:val="007B4866"/>
    <w:rsid w:val="007C02AB"/>
    <w:rsid w:val="007C125B"/>
    <w:rsid w:val="007C46E5"/>
    <w:rsid w:val="007C4D80"/>
    <w:rsid w:val="007D6E28"/>
    <w:rsid w:val="007F1101"/>
    <w:rsid w:val="007F5980"/>
    <w:rsid w:val="007F6531"/>
    <w:rsid w:val="00805997"/>
    <w:rsid w:val="00805B10"/>
    <w:rsid w:val="00806C6F"/>
    <w:rsid w:val="00815294"/>
    <w:rsid w:val="008152AF"/>
    <w:rsid w:val="008200EE"/>
    <w:rsid w:val="00820D62"/>
    <w:rsid w:val="00822446"/>
    <w:rsid w:val="008307D4"/>
    <w:rsid w:val="00835EC0"/>
    <w:rsid w:val="00856790"/>
    <w:rsid w:val="00856D25"/>
    <w:rsid w:val="00864C38"/>
    <w:rsid w:val="00877643"/>
    <w:rsid w:val="00885E5E"/>
    <w:rsid w:val="00886CA8"/>
    <w:rsid w:val="00887E67"/>
    <w:rsid w:val="00894FB6"/>
    <w:rsid w:val="00895EF0"/>
    <w:rsid w:val="008B1E96"/>
    <w:rsid w:val="008B6638"/>
    <w:rsid w:val="008D4659"/>
    <w:rsid w:val="008D60DB"/>
    <w:rsid w:val="008D6961"/>
    <w:rsid w:val="008D6F12"/>
    <w:rsid w:val="008E3861"/>
    <w:rsid w:val="008F0226"/>
    <w:rsid w:val="009049AA"/>
    <w:rsid w:val="0094113E"/>
    <w:rsid w:val="0097010B"/>
    <w:rsid w:val="00970702"/>
    <w:rsid w:val="0098270C"/>
    <w:rsid w:val="00982D1D"/>
    <w:rsid w:val="0098505C"/>
    <w:rsid w:val="009A2B7E"/>
    <w:rsid w:val="009A61C6"/>
    <w:rsid w:val="009E1B26"/>
    <w:rsid w:val="009E4DB4"/>
    <w:rsid w:val="009E761E"/>
    <w:rsid w:val="009F647A"/>
    <w:rsid w:val="00A01352"/>
    <w:rsid w:val="00A11235"/>
    <w:rsid w:val="00A22BC8"/>
    <w:rsid w:val="00A245D2"/>
    <w:rsid w:val="00A302F7"/>
    <w:rsid w:val="00A3165C"/>
    <w:rsid w:val="00A3220B"/>
    <w:rsid w:val="00A33C05"/>
    <w:rsid w:val="00A34263"/>
    <w:rsid w:val="00A41BD2"/>
    <w:rsid w:val="00A443CF"/>
    <w:rsid w:val="00A52DF0"/>
    <w:rsid w:val="00A54504"/>
    <w:rsid w:val="00A63282"/>
    <w:rsid w:val="00A823E1"/>
    <w:rsid w:val="00A84E34"/>
    <w:rsid w:val="00A8620D"/>
    <w:rsid w:val="00A91A96"/>
    <w:rsid w:val="00A93A25"/>
    <w:rsid w:val="00AA507D"/>
    <w:rsid w:val="00AC226E"/>
    <w:rsid w:val="00AD7FD4"/>
    <w:rsid w:val="00AE4B77"/>
    <w:rsid w:val="00AE5DB0"/>
    <w:rsid w:val="00B01763"/>
    <w:rsid w:val="00B27B78"/>
    <w:rsid w:val="00B27BBF"/>
    <w:rsid w:val="00B32CB8"/>
    <w:rsid w:val="00B333A8"/>
    <w:rsid w:val="00B34F3C"/>
    <w:rsid w:val="00B37284"/>
    <w:rsid w:val="00B4223C"/>
    <w:rsid w:val="00B44A39"/>
    <w:rsid w:val="00B5613F"/>
    <w:rsid w:val="00B607B1"/>
    <w:rsid w:val="00B609E6"/>
    <w:rsid w:val="00B634DF"/>
    <w:rsid w:val="00B67FCC"/>
    <w:rsid w:val="00B84917"/>
    <w:rsid w:val="00B8562D"/>
    <w:rsid w:val="00BA71D1"/>
    <w:rsid w:val="00BB3FDB"/>
    <w:rsid w:val="00BC750A"/>
    <w:rsid w:val="00BD4E03"/>
    <w:rsid w:val="00BD7C7C"/>
    <w:rsid w:val="00BE49AF"/>
    <w:rsid w:val="00BE5310"/>
    <w:rsid w:val="00C03A09"/>
    <w:rsid w:val="00C17003"/>
    <w:rsid w:val="00C211CD"/>
    <w:rsid w:val="00C4273F"/>
    <w:rsid w:val="00C44D50"/>
    <w:rsid w:val="00C51290"/>
    <w:rsid w:val="00C512C2"/>
    <w:rsid w:val="00C5522A"/>
    <w:rsid w:val="00C57EE6"/>
    <w:rsid w:val="00C705F9"/>
    <w:rsid w:val="00C857C1"/>
    <w:rsid w:val="00C90635"/>
    <w:rsid w:val="00CA4895"/>
    <w:rsid w:val="00CA4D11"/>
    <w:rsid w:val="00CA5E57"/>
    <w:rsid w:val="00CB2014"/>
    <w:rsid w:val="00CB2C3A"/>
    <w:rsid w:val="00CB70C4"/>
    <w:rsid w:val="00CC0AFC"/>
    <w:rsid w:val="00CC228B"/>
    <w:rsid w:val="00CD3A97"/>
    <w:rsid w:val="00CD7F9E"/>
    <w:rsid w:val="00CE11D7"/>
    <w:rsid w:val="00CE322B"/>
    <w:rsid w:val="00CE7F5A"/>
    <w:rsid w:val="00CF0637"/>
    <w:rsid w:val="00CF12D2"/>
    <w:rsid w:val="00CF7259"/>
    <w:rsid w:val="00D02504"/>
    <w:rsid w:val="00D24555"/>
    <w:rsid w:val="00D276FF"/>
    <w:rsid w:val="00D35A7B"/>
    <w:rsid w:val="00D361C5"/>
    <w:rsid w:val="00D36B76"/>
    <w:rsid w:val="00D43069"/>
    <w:rsid w:val="00D55492"/>
    <w:rsid w:val="00D71E04"/>
    <w:rsid w:val="00D9532C"/>
    <w:rsid w:val="00DB22BB"/>
    <w:rsid w:val="00DC41A0"/>
    <w:rsid w:val="00DD32C4"/>
    <w:rsid w:val="00DD5083"/>
    <w:rsid w:val="00DF14CF"/>
    <w:rsid w:val="00DF2E76"/>
    <w:rsid w:val="00DF5565"/>
    <w:rsid w:val="00DF5E83"/>
    <w:rsid w:val="00E01ABB"/>
    <w:rsid w:val="00E2282A"/>
    <w:rsid w:val="00E303C5"/>
    <w:rsid w:val="00E41D44"/>
    <w:rsid w:val="00E47F03"/>
    <w:rsid w:val="00E74656"/>
    <w:rsid w:val="00E76476"/>
    <w:rsid w:val="00E80ED8"/>
    <w:rsid w:val="00E81490"/>
    <w:rsid w:val="00E829FB"/>
    <w:rsid w:val="00EA27D4"/>
    <w:rsid w:val="00EA5730"/>
    <w:rsid w:val="00EC3756"/>
    <w:rsid w:val="00EC78FC"/>
    <w:rsid w:val="00EE4E0E"/>
    <w:rsid w:val="00EF63F0"/>
    <w:rsid w:val="00EF676F"/>
    <w:rsid w:val="00F05192"/>
    <w:rsid w:val="00F111A1"/>
    <w:rsid w:val="00F35D5B"/>
    <w:rsid w:val="00F3663D"/>
    <w:rsid w:val="00F36723"/>
    <w:rsid w:val="00F67CF8"/>
    <w:rsid w:val="00F75C1B"/>
    <w:rsid w:val="00F75FA7"/>
    <w:rsid w:val="00F8553B"/>
    <w:rsid w:val="00F8672F"/>
    <w:rsid w:val="00F95F83"/>
    <w:rsid w:val="00FB4FF1"/>
    <w:rsid w:val="00FB5940"/>
    <w:rsid w:val="00FC2480"/>
    <w:rsid w:val="00FC3247"/>
    <w:rsid w:val="00FD2B3F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89FE6"/>
  <w15:docId w15:val="{3C38AFDB-D4F9-404E-829F-91CF6E8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 Indent"/>
    <w:basedOn w:val="a0"/>
    <w:link w:val="af6"/>
    <w:uiPriority w:val="99"/>
    <w:unhideWhenUsed/>
    <w:rsid w:val="0039451B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39451B"/>
  </w:style>
  <w:style w:type="paragraph" w:customStyle="1" w:styleId="Default">
    <w:name w:val="Default"/>
    <w:rsid w:val="00B01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C9063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C906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C309-7819-47A2-934A-256C0AA2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Катина Анна Юрьевна</cp:lastModifiedBy>
  <cp:revision>19</cp:revision>
  <cp:lastPrinted>2019-02-20T07:06:00Z</cp:lastPrinted>
  <dcterms:created xsi:type="dcterms:W3CDTF">2022-05-18T07:39:00Z</dcterms:created>
  <dcterms:modified xsi:type="dcterms:W3CDTF">2022-07-26T16:18:00Z</dcterms:modified>
</cp:coreProperties>
</file>