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63" w:rsidRPr="002A6963" w:rsidRDefault="002A6963" w:rsidP="00251A6E">
      <w:pPr>
        <w:autoSpaceDE w:val="0"/>
        <w:autoSpaceDN w:val="0"/>
        <w:adjustRightInd w:val="0"/>
        <w:spacing w:after="0" w:line="240" w:lineRule="auto"/>
        <w:ind w:left="3960" w:firstLine="382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E303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</w:p>
    <w:p w:rsidR="002A6963" w:rsidRDefault="002A6963" w:rsidP="003D71C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317033" w:rsidRDefault="00AE4B77" w:rsidP="003D71C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317033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317033" w:rsidRDefault="00591CDA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3D11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D07A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317033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3D11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D07A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317033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317033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317033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317033" w:rsidRDefault="00CA4D11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22B" w:rsidRPr="00317033" w:rsidRDefault="004B4B96" w:rsidP="00820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7033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</w:t>
      </w:r>
      <w:r w:rsidRPr="00820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ГЭС»: </w:t>
      </w:r>
      <w:r w:rsidRPr="00820E41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</w:t>
      </w:r>
      <w:r w:rsidR="00820E41" w:rsidRPr="00820E41">
        <w:rPr>
          <w:rFonts w:ascii="Times New Roman" w:hAnsi="Times New Roman" w:cs="Times New Roman"/>
          <w:sz w:val="20"/>
          <w:szCs w:val="20"/>
        </w:rPr>
        <w:t>также</w:t>
      </w:r>
      <w:r w:rsidRPr="00820E41">
        <w:rPr>
          <w:rFonts w:ascii="Times New Roman" w:hAnsi="Times New Roman" w:cs="Times New Roman"/>
          <w:sz w:val="20"/>
          <w:szCs w:val="20"/>
        </w:rPr>
        <w:t xml:space="preserve"> Общество), рассмотрев представленные материалы, утверждает настоящее заключение для целей голосования на </w:t>
      </w:r>
      <w:r w:rsidR="00DE24A8" w:rsidRPr="00820E41">
        <w:rPr>
          <w:rFonts w:ascii="Times New Roman" w:hAnsi="Times New Roman" w:cs="Times New Roman"/>
          <w:sz w:val="20"/>
          <w:szCs w:val="20"/>
        </w:rPr>
        <w:t>внеочередном</w:t>
      </w:r>
      <w:r w:rsidRPr="00820E41">
        <w:rPr>
          <w:rFonts w:ascii="Times New Roman" w:hAnsi="Times New Roman" w:cs="Times New Roman"/>
          <w:sz w:val="20"/>
          <w:szCs w:val="20"/>
        </w:rPr>
        <w:t xml:space="preserve"> Общем собрании акционеров АО «Богучанская ГЭС» </w:t>
      </w:r>
      <w:r w:rsidR="00537200" w:rsidRPr="00820E41">
        <w:rPr>
          <w:rFonts w:ascii="Times New Roman" w:hAnsi="Times New Roman" w:cs="Times New Roman"/>
          <w:sz w:val="20"/>
          <w:szCs w:val="20"/>
        </w:rPr>
        <w:t>«</w:t>
      </w:r>
      <w:r w:rsidR="00DA103A">
        <w:rPr>
          <w:rFonts w:ascii="Times New Roman" w:hAnsi="Times New Roman" w:cs="Times New Roman"/>
          <w:sz w:val="20"/>
          <w:szCs w:val="20"/>
        </w:rPr>
        <w:t>06</w:t>
      </w:r>
      <w:r w:rsidR="00537200" w:rsidRPr="00820E41">
        <w:rPr>
          <w:rFonts w:ascii="Times New Roman" w:hAnsi="Times New Roman" w:cs="Times New Roman"/>
          <w:sz w:val="20"/>
          <w:szCs w:val="20"/>
        </w:rPr>
        <w:t>»</w:t>
      </w:r>
      <w:r w:rsidR="00820E41" w:rsidRPr="00820E41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251A6E" w:rsidRPr="00820E41">
        <w:rPr>
          <w:rFonts w:ascii="Times New Roman" w:hAnsi="Times New Roman" w:cs="Times New Roman"/>
          <w:sz w:val="20"/>
          <w:szCs w:val="20"/>
        </w:rPr>
        <w:t xml:space="preserve"> </w:t>
      </w:r>
      <w:r w:rsidR="00266716" w:rsidRPr="00820E41">
        <w:rPr>
          <w:rFonts w:ascii="Times New Roman" w:hAnsi="Times New Roman" w:cs="Times New Roman"/>
          <w:sz w:val="20"/>
          <w:szCs w:val="20"/>
        </w:rPr>
        <w:t>20</w:t>
      </w:r>
      <w:r w:rsidR="003D1156" w:rsidRPr="00820E41">
        <w:rPr>
          <w:rFonts w:ascii="Times New Roman" w:hAnsi="Times New Roman" w:cs="Times New Roman"/>
          <w:sz w:val="20"/>
          <w:szCs w:val="20"/>
        </w:rPr>
        <w:t>2</w:t>
      </w:r>
      <w:r w:rsidR="00F91DAC" w:rsidRPr="00820E41">
        <w:rPr>
          <w:rFonts w:ascii="Times New Roman" w:hAnsi="Times New Roman" w:cs="Times New Roman"/>
          <w:sz w:val="20"/>
          <w:szCs w:val="20"/>
        </w:rPr>
        <w:t>2</w:t>
      </w:r>
      <w:r w:rsidRPr="00820E41">
        <w:rPr>
          <w:rFonts w:ascii="Times New Roman" w:hAnsi="Times New Roman" w:cs="Times New Roman"/>
          <w:sz w:val="20"/>
          <w:szCs w:val="20"/>
        </w:rPr>
        <w:t xml:space="preserve"> г. по вопросу </w:t>
      </w:r>
      <w:r w:rsidR="00820E41" w:rsidRPr="00820E41">
        <w:rPr>
          <w:rFonts w:ascii="Times New Roman" w:hAnsi="Times New Roman" w:cs="Times New Roman"/>
          <w:sz w:val="20"/>
          <w:szCs w:val="20"/>
        </w:rPr>
        <w:br/>
        <w:t>«</w:t>
      </w:r>
      <w:r w:rsidR="00F91DAC" w:rsidRPr="00820E41">
        <w:rPr>
          <w:rFonts w:ascii="Times New Roman" w:hAnsi="Times New Roman" w:cs="Times New Roman"/>
          <w:sz w:val="20"/>
          <w:szCs w:val="20"/>
        </w:rPr>
        <w:t>О предоставлении согласия на совершение крупной сделки – Договора последующего залога недвижимого имущества (ипотеки) № 110200/1167-ДПИ, заключенного между Государственной корпорацией развития «ВЭБ.РФ» и Акционерным обществом «Богучанская ГЭС» 12.07.2011</w:t>
      </w:r>
      <w:r w:rsidR="00681893">
        <w:rPr>
          <w:rFonts w:ascii="Times New Roman" w:hAnsi="Times New Roman" w:cs="Times New Roman"/>
          <w:sz w:val="20"/>
          <w:szCs w:val="20"/>
        </w:rPr>
        <w:t xml:space="preserve"> (далее – Договор)</w:t>
      </w:r>
      <w:r w:rsidR="00F91DAC" w:rsidRPr="00820E41">
        <w:rPr>
          <w:rFonts w:ascii="Times New Roman" w:hAnsi="Times New Roman" w:cs="Times New Roman"/>
          <w:sz w:val="20"/>
          <w:szCs w:val="20"/>
        </w:rPr>
        <w:t>, на измененных условиях, определенных</w:t>
      </w:r>
      <w:r w:rsidR="00F91DAC" w:rsidRPr="00F91DAC">
        <w:rPr>
          <w:rFonts w:ascii="Times New Roman" w:hAnsi="Times New Roman" w:cs="Times New Roman"/>
          <w:sz w:val="20"/>
          <w:szCs w:val="20"/>
        </w:rPr>
        <w:t xml:space="preserve"> Дополнением № 7 к Договору последующего залога недвижимого имущества (ипотеки)</w:t>
      </w:r>
      <w:r w:rsidR="00820E41">
        <w:rPr>
          <w:rFonts w:ascii="Times New Roman" w:hAnsi="Times New Roman" w:cs="Times New Roman"/>
          <w:sz w:val="20"/>
          <w:szCs w:val="20"/>
        </w:rPr>
        <w:t xml:space="preserve"> (далее – Дополнение, Сделка)</w:t>
      </w:r>
      <w:r w:rsidR="00F91DAC" w:rsidRPr="00F91DAC">
        <w:rPr>
          <w:rFonts w:ascii="Times New Roman" w:hAnsi="Times New Roman" w:cs="Times New Roman"/>
          <w:sz w:val="20"/>
          <w:szCs w:val="20"/>
        </w:rPr>
        <w:t xml:space="preserve">, который во взаимосвязи с Договором последующего залога движимого имущества </w:t>
      </w:r>
      <w:r w:rsidR="00681893">
        <w:rPr>
          <w:rFonts w:ascii="Times New Roman" w:hAnsi="Times New Roman" w:cs="Times New Roman"/>
          <w:sz w:val="20"/>
          <w:szCs w:val="20"/>
        </w:rPr>
        <w:br/>
      </w:r>
      <w:r w:rsidR="00F91DAC" w:rsidRPr="00F91DAC">
        <w:rPr>
          <w:rFonts w:ascii="Times New Roman" w:hAnsi="Times New Roman" w:cs="Times New Roman"/>
          <w:sz w:val="20"/>
          <w:szCs w:val="20"/>
        </w:rPr>
        <w:t>№ 110200/1167-ДПЗ от 28.03.2011, Договором поручительства № 110100/1167-ДП от 07.02.2018 является крупной сделкой</w:t>
      </w:r>
      <w:r w:rsidR="00820E41">
        <w:rPr>
          <w:rFonts w:ascii="Times New Roman" w:hAnsi="Times New Roman" w:cs="Times New Roman"/>
          <w:sz w:val="20"/>
          <w:szCs w:val="20"/>
        </w:rPr>
        <w:t>»</w:t>
      </w:r>
      <w:r w:rsidR="00771458" w:rsidRPr="00317033">
        <w:rPr>
          <w:rFonts w:ascii="Times New Roman" w:hAnsi="Times New Roman" w:cs="Times New Roman"/>
          <w:sz w:val="20"/>
          <w:szCs w:val="20"/>
        </w:rPr>
        <w:t>.</w:t>
      </w:r>
    </w:p>
    <w:p w:rsidR="00032FBB" w:rsidRDefault="00032FBB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u w:val="single"/>
          <w:lang w:eastAsia="en-US"/>
        </w:rPr>
      </w:pPr>
      <w:r w:rsidRPr="00820E41">
        <w:rPr>
          <w:rFonts w:eastAsiaTheme="minorHAnsi"/>
          <w:color w:val="auto"/>
          <w:sz w:val="20"/>
          <w:u w:val="single"/>
          <w:lang w:eastAsia="en-US"/>
        </w:rPr>
        <w:t>Стороны Дополнения: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Залогодатель</w:t>
      </w:r>
      <w:r>
        <w:rPr>
          <w:rFonts w:eastAsiaTheme="minorHAnsi"/>
          <w:color w:val="auto"/>
          <w:sz w:val="20"/>
          <w:lang w:eastAsia="en-US"/>
        </w:rPr>
        <w:t xml:space="preserve"> </w:t>
      </w:r>
      <w:r w:rsidRPr="00820E41">
        <w:rPr>
          <w:rFonts w:eastAsiaTheme="minorHAnsi"/>
          <w:color w:val="auto"/>
          <w:sz w:val="20"/>
          <w:lang w:eastAsia="en-US"/>
        </w:rPr>
        <w:t>– АО «Богучанская ГЭС»;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Залогодержатель или Кредитор – Государственная корпорация развития «ВЭБ.РФ».</w:t>
      </w:r>
    </w:p>
    <w:p w:rsidR="00820E41" w:rsidRPr="00820E41" w:rsidRDefault="00820E41" w:rsidP="00820E41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20E41">
        <w:rPr>
          <w:rFonts w:ascii="Times New Roman" w:hAnsi="Times New Roman" w:cs="Times New Roman"/>
          <w:sz w:val="20"/>
          <w:szCs w:val="20"/>
          <w:u w:val="single"/>
        </w:rPr>
        <w:t>Заемщик:</w:t>
      </w:r>
      <w:r w:rsidRPr="00820E41">
        <w:rPr>
          <w:rFonts w:ascii="Times New Roman" w:hAnsi="Times New Roman" w:cs="Times New Roman"/>
          <w:sz w:val="20"/>
          <w:szCs w:val="20"/>
        </w:rPr>
        <w:t xml:space="preserve"> АО «БоАЗ».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u w:val="single"/>
          <w:lang w:eastAsia="en-US"/>
        </w:rPr>
      </w:pPr>
      <w:r w:rsidRPr="00820E41">
        <w:rPr>
          <w:rFonts w:eastAsiaTheme="minorHAnsi"/>
          <w:color w:val="auto"/>
          <w:sz w:val="20"/>
          <w:u w:val="single"/>
          <w:lang w:eastAsia="en-US"/>
        </w:rPr>
        <w:t>Предмет Дополнения: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Внесение следующих изменений в Договор: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1. Изложить пункт 1.9. Статьи 1 Договора в следующей редакции: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«1.9 «Соглашение» - Кредитное соглашение от 03.12.2010 № 110100/1167 в редакции Дополнения от 09.03.2011 № 1, Дополнения от 04.10.2011 № 2, Дополнения от 11.12.2012 № 3, Дополнения от 28.10.2013 № 4, Дополнения от 18.12.2014 № 5, Дополнения от 20.05.2015 № 6, Дополнения от 18.01.2016 № 7, Дополнения от 01.02.2017 № 8, Дополнения от 19.12.2017 № 9, Дополнения от 27.12.2017 № 10, Дополнения от 29.05.2018 № 11, Дополнения от 20.09.2018 № 12, Дополнения от 24.01.2019 № 13, Дополнения от 19.06.2019 № 14, Дополнения от 19.03.2020 № 15, Дополнения от 09.02.2021 № 16, Дополнения от 19.08.2021 № 17, Дополнения от 17.12.2021 № 18, Дополнения от 23.03.2022 № 19 к нему, заключенное между Кредитором и Заемщиком в г. Москве».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2. Изложить технические характеристики земельных участков №1, №4, №14, указанных в пункте 2.1.1 Статьи 2 Договора (приложение к материалам внеочередного Общего собрания акционеров Общества).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3. Исключить из перечня зданий и сооружений, передаваемых в залог Залогодержателю, указанных в пункте 2.1.2 Статьи 2 Договора, «Объект недвижимости 23» (приложение к материалам внеочередного Общего собрания акционеров Общества).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4. Исключить из состава Предмета залога вновь образованные земельные участки с кадастровыми номерами 24:20:0817001:1355, 24:20:0817001:1360, 24:20:1400004:543.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5. Изложить подпункт 2.2.3.5 пункта 2.2.3 Статьи 3 Договора в следующей редакции: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«2.2.3.5. В случае невыполнения Заемщиком обязательств, указанных в пунктах 6.1.1-6.1.6, 6.1.10, 6.1.13, 6.1.20, 6.1.21, 6.1.30, 6.1.32-6.1.34, 6.1.39,6.1.40, 6.1.48, 6.1.50, 6.1.52, 6.1.57, 6.1.62, 6.1.72, 6.1.79 Статьи 6 Соглашения и не устранения этих нарушений в течение срока, предусмотренного пунктом 8.1.1 Статьи 8 Соглашения, Кредитор вправе потребовать оплаты штрафа в размере 15000,00 (Пятнадцать тысяч 00/100) долларов США за каждый случай нарушения обязательств предусмотренных вышеуказанными пунктами.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 xml:space="preserve">В случае невыполнения Заемщиком обязательств, указанных в пунктах 6.1.7, 6.1.9, 6.1.15-6.1.18, 6.1.24, 6.1.25, 6.1.35-6.1.38, 6.1.49, 6.1.51, 6.1.60, 6.1.77, 6.1.78 Статьи 6 Соглашения и не устранения этих нарушений в течение срока, предусмотренного пунктом 8.1.1 Статьи 8 Соглашения, Кредитор вправе потребовать оплаты штрафа в размере 0,001 (Ноль целых одна тысячная) процента от суммы Кредита за каждый день неисполнения указанного обязательства». 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6. Изложить пункт 2.5 Статьи 2 Договора в следующей редакции: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«2.5. Залогодатель и Залогодержатель настоящим договорились о том, что  стоимость Предмета залога составляет 35 024 086 459,52 (Тридцать пять миллиардов двадцать четыре миллиона восемьдесят шесть тысяч четыреста пятьдесят девять 52/100) рублей, определенная на основании рыночной стоимости, указанной в отчете от 04.12.2013 № 17-250, предоставленном оценщиком ЗАО «АБМ Партнер», в отчете об оценке от 10.03.2015 № Н-19472/15 Богучанской ГЭС на р. Ангаре (1,2,3,4,5,6,7 этап), назначение: 3) сооружения гидротехнические, площадь застройки 1 175 725,30 кв. м., лит Г,В,В1,В4,В5,В6,Г1,В2,В3, принадлежащие Залогодателю, в отчете об оценке от 17.04.2015 № Н-19742/15 недвижимого имущества, принадлежащего Залогодателю, в отчете об оценке от 29.05.2019 № И-29533/18 недвижимого имущества, принадлежащего Залогодателю, в отчете об оценке от 24.02.2022 № Н-36614/22 земельных участков под кадастровыми номерами 24:20:0000000:1933, 24:20:0817001:1355, 24:20:0817001:545, 24:20:0817001:1360, 24:20:1400004:118, 24:20:1400004:543, предоставленных оценщиком ООО «ЛАИР», с учетом применения дисконта в размере 30 (Тридцать) процентов».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7. Изложить пункт 8.3 Статьи 8 Договора в следующей редакции: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 xml:space="preserve">«8.3. Информация, определенная Сторонами как конфиденциальная, не подлежит передаче третьим лицам, за исключением случаев, предусмотренных законодательством Российской Федерации, и положениями Договора. 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 xml:space="preserve">Залогодержатель имеет право раскрывать информацию о Договоре, его условиях, Залогодателе, действиях, правах и обязанностях Сторон, возникающих из или в связи с Договором, иную информацию по Проекту, </w:t>
      </w:r>
      <w:r w:rsidRPr="00820E41">
        <w:rPr>
          <w:rFonts w:eastAsiaTheme="minorHAnsi"/>
          <w:color w:val="auto"/>
          <w:sz w:val="20"/>
          <w:lang w:eastAsia="en-US"/>
        </w:rPr>
        <w:lastRenderedPageBreak/>
        <w:t>информацию об иных участниках Проекта и сделках, заключаемых Залогодателем и/или иными участниками Проекта в связи с Проектом, организациям ВЭБ.РФ (перечень определен в пункте 13 части 4 статьи 3 Федерального закона от 17.05.2007 № 82-ФЗ «О государственной корпорации развития «ВЭБ.РФ»), Акционерному обществу «Банк ДОМ.РФ» (ИНН 7725038124) и Обществу с ограниченной ответственностью «ДОМ.РФ Центр сопровождения» (ИНН 3666240353), а также профессиональным консультантам Залогодержателя (аудиторы, внешние юридические, финансовые и иные консультанты). Настоящим Залогодатель выражает согласие на передачу вышеперечисленной информации указанным лицам».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u w:val="single"/>
          <w:lang w:eastAsia="en-US"/>
        </w:rPr>
      </w:pPr>
      <w:r w:rsidRPr="00820E41">
        <w:rPr>
          <w:rFonts w:eastAsiaTheme="minorHAnsi"/>
          <w:color w:val="auto"/>
          <w:sz w:val="20"/>
          <w:u w:val="single"/>
          <w:lang w:eastAsia="en-US"/>
        </w:rPr>
        <w:t xml:space="preserve">Цена Договора (с учетом Дополнения): </w:t>
      </w:r>
    </w:p>
    <w:p w:rsidR="00820E41" w:rsidRPr="00820E41" w:rsidRDefault="00820E41" w:rsidP="00820E41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820E41">
        <w:rPr>
          <w:rFonts w:eastAsiaTheme="minorHAnsi"/>
          <w:color w:val="auto"/>
          <w:sz w:val="20"/>
          <w:lang w:eastAsia="en-US"/>
        </w:rPr>
        <w:t>Стоимость имущества, передаваемого в последующий залог по Договору с учетом Дополнения, составляет 35 024 086 459,52 (Тридцать пять миллиардов двадцать четыре миллиона восемьдесят шесть тысяч четыреста пятьдесят девять 52/100) рублей.</w:t>
      </w:r>
    </w:p>
    <w:p w:rsidR="00820E41" w:rsidRPr="00820E41" w:rsidRDefault="00820E41" w:rsidP="003170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41" w:rsidRPr="00A3165C" w:rsidRDefault="00820E41" w:rsidP="00820E4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алансовая стоимость активов Общества</w:t>
      </w:r>
      <w:r w:rsidRPr="00A3165C">
        <w:rPr>
          <w:rFonts w:ascii="Times New Roman" w:hAnsi="Times New Roman" w:cs="Times New Roman"/>
          <w:sz w:val="20"/>
          <w:szCs w:val="20"/>
        </w:rPr>
        <w:t xml:space="preserve"> по состоянию на 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31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A3165C">
        <w:rPr>
          <w:rFonts w:ascii="Times New Roman" w:hAnsi="Times New Roman" w:cs="Times New Roman"/>
          <w:sz w:val="20"/>
          <w:szCs w:val="20"/>
        </w:rPr>
        <w:t xml:space="preserve">.2010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Pr="00820E41">
        <w:rPr>
          <w:rFonts w:ascii="Times New Roman" w:hAnsi="Times New Roman" w:cs="Times New Roman"/>
          <w:sz w:val="20"/>
          <w:szCs w:val="20"/>
        </w:rPr>
        <w:t>52 227 115 000 руб.</w:t>
      </w:r>
    </w:p>
    <w:p w:rsidR="00317033" w:rsidRPr="00820E41" w:rsidRDefault="00820E41" w:rsidP="00820E41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0E41">
        <w:rPr>
          <w:rFonts w:ascii="Times New Roman" w:hAnsi="Times New Roman" w:cs="Times New Roman"/>
          <w:sz w:val="20"/>
          <w:szCs w:val="20"/>
        </w:rPr>
        <w:t>Цена Договора (с учетом Дополнения) во взаимосвязи с Договором последующего залога движимого имущества № 110200/1167-ДПЗ от 28.03.2011 и Договором поручительства № 110100/1167-ДП от 07.02.2012 -</w:t>
      </w:r>
      <w:r w:rsidRPr="00820E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194 991 596 503,66 </w:t>
      </w:r>
      <w:r w:rsidRPr="00820E41">
        <w:rPr>
          <w:rFonts w:ascii="Times New Roman" w:hAnsi="Times New Roman" w:cs="Times New Roman"/>
          <w:sz w:val="20"/>
          <w:szCs w:val="20"/>
        </w:rPr>
        <w:t xml:space="preserve">руб., что составляет 373,353 % от балансовой стоимости активов Общества.   </w:t>
      </w:r>
    </w:p>
    <w:p w:rsidR="00317033" w:rsidRPr="00820E41" w:rsidRDefault="00317033" w:rsidP="0031703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820E41" w:rsidRDefault="004B4B96" w:rsidP="00820E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0E41">
        <w:rPr>
          <w:rFonts w:ascii="Times New Roman" w:hAnsi="Times New Roman" w:cs="Times New Roman"/>
          <w:b/>
          <w:sz w:val="20"/>
          <w:szCs w:val="20"/>
        </w:rPr>
        <w:t xml:space="preserve">Предполагаемые </w:t>
      </w:r>
      <w:r w:rsidR="00820E41" w:rsidRPr="00820E41">
        <w:rPr>
          <w:rFonts w:ascii="Times New Roman" w:hAnsi="Times New Roman" w:cs="Times New Roman"/>
          <w:b/>
          <w:sz w:val="20"/>
          <w:szCs w:val="20"/>
        </w:rPr>
        <w:t xml:space="preserve">последствия </w:t>
      </w:r>
      <w:r w:rsidRPr="00820E41">
        <w:rPr>
          <w:rFonts w:ascii="Times New Roman" w:hAnsi="Times New Roman" w:cs="Times New Roman"/>
          <w:b/>
          <w:sz w:val="20"/>
          <w:szCs w:val="20"/>
        </w:rPr>
        <w:t>для деятельности Общества</w:t>
      </w:r>
      <w:r w:rsidR="00820E41" w:rsidRPr="00820E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0E41">
        <w:rPr>
          <w:rFonts w:ascii="Times New Roman" w:hAnsi="Times New Roman" w:cs="Times New Roman"/>
          <w:b/>
          <w:sz w:val="20"/>
          <w:szCs w:val="20"/>
        </w:rPr>
        <w:t>в результате заключения С</w:t>
      </w:r>
      <w:r w:rsidR="00820E41" w:rsidRPr="00820E41">
        <w:rPr>
          <w:rFonts w:ascii="Times New Roman" w:hAnsi="Times New Roman" w:cs="Times New Roman"/>
          <w:b/>
          <w:sz w:val="20"/>
          <w:szCs w:val="20"/>
        </w:rPr>
        <w:t>делки</w:t>
      </w:r>
      <w:r w:rsidRPr="00820E4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A7E53" w:rsidRPr="00820E41" w:rsidRDefault="00DF5E83" w:rsidP="00820E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0E41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  <w:r w:rsidR="00820E41">
        <w:rPr>
          <w:rFonts w:ascii="Times New Roman" w:hAnsi="Times New Roman" w:cs="Times New Roman"/>
          <w:bCs/>
          <w:sz w:val="20"/>
          <w:szCs w:val="20"/>
        </w:rPr>
        <w:t>В результате заключения С</w:t>
      </w:r>
      <w:r w:rsidR="00A8620D" w:rsidRPr="00820E41">
        <w:rPr>
          <w:rFonts w:ascii="Times New Roman" w:hAnsi="Times New Roman" w:cs="Times New Roman"/>
          <w:bCs/>
          <w:sz w:val="20"/>
          <w:szCs w:val="20"/>
        </w:rPr>
        <w:t>делки изменяется объем обеспечительных обязательств З</w:t>
      </w:r>
      <w:r w:rsidR="00820E41">
        <w:rPr>
          <w:rFonts w:ascii="Times New Roman" w:hAnsi="Times New Roman" w:cs="Times New Roman"/>
          <w:bCs/>
          <w:sz w:val="20"/>
          <w:szCs w:val="20"/>
        </w:rPr>
        <w:t>алогодателя по обязательствам За</w:t>
      </w:r>
      <w:r w:rsidR="00A8620D" w:rsidRPr="00820E41">
        <w:rPr>
          <w:rFonts w:ascii="Times New Roman" w:hAnsi="Times New Roman" w:cs="Times New Roman"/>
          <w:bCs/>
          <w:sz w:val="20"/>
          <w:szCs w:val="20"/>
        </w:rPr>
        <w:t xml:space="preserve">емщика перед </w:t>
      </w:r>
      <w:r w:rsidR="00820E41">
        <w:rPr>
          <w:rFonts w:ascii="Times New Roman" w:hAnsi="Times New Roman" w:cs="Times New Roman"/>
          <w:bCs/>
          <w:sz w:val="20"/>
          <w:szCs w:val="20"/>
        </w:rPr>
        <w:t>Кредитором</w:t>
      </w:r>
      <w:r w:rsidR="00A8620D" w:rsidRPr="00820E41">
        <w:rPr>
          <w:rFonts w:ascii="Times New Roman" w:hAnsi="Times New Roman" w:cs="Times New Roman"/>
          <w:bCs/>
          <w:sz w:val="20"/>
          <w:szCs w:val="20"/>
        </w:rPr>
        <w:t>.</w:t>
      </w:r>
      <w:r w:rsidR="00285999" w:rsidRPr="00820E4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94FB6" w:rsidRPr="00820E41" w:rsidRDefault="00D35A7B" w:rsidP="00820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0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6818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аключение С</w:t>
      </w:r>
      <w:r w:rsidR="00894FB6" w:rsidRPr="00820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</w:t>
      </w:r>
      <w:r w:rsidRPr="00820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94FB6" w:rsidRPr="00820E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8311B" w:rsidRPr="00820E41" w:rsidRDefault="00F8311B" w:rsidP="00820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4B4B96" w:rsidRPr="00820E41" w:rsidRDefault="004B4B96" w:rsidP="00820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0E41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681893" w:rsidRPr="00A3165C" w:rsidRDefault="00681893" w:rsidP="00681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 xml:space="preserve">Дополнением внесены изменения в </w:t>
      </w:r>
      <w:r>
        <w:rPr>
          <w:rFonts w:ascii="Times New Roman" w:hAnsi="Times New Roman" w:cs="Times New Roman"/>
          <w:sz w:val="20"/>
          <w:szCs w:val="20"/>
        </w:rPr>
        <w:t xml:space="preserve">Договор в части </w:t>
      </w:r>
      <w:r w:rsidRPr="00A3165C">
        <w:rPr>
          <w:rFonts w:ascii="Times New Roman" w:hAnsi="Times New Roman" w:cs="Times New Roman"/>
          <w:sz w:val="20"/>
          <w:szCs w:val="20"/>
        </w:rPr>
        <w:t>переч</w:t>
      </w:r>
      <w:r>
        <w:rPr>
          <w:rFonts w:ascii="Times New Roman" w:hAnsi="Times New Roman" w:cs="Times New Roman"/>
          <w:sz w:val="20"/>
          <w:szCs w:val="20"/>
        </w:rPr>
        <w:t>ня</w:t>
      </w:r>
      <w:r w:rsidRPr="00A3165C">
        <w:rPr>
          <w:rFonts w:ascii="Times New Roman" w:hAnsi="Times New Roman" w:cs="Times New Roman"/>
          <w:sz w:val="20"/>
          <w:szCs w:val="20"/>
        </w:rPr>
        <w:t xml:space="preserve"> и общ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A3165C">
        <w:rPr>
          <w:rFonts w:ascii="Times New Roman" w:hAnsi="Times New Roman" w:cs="Times New Roman"/>
          <w:sz w:val="20"/>
          <w:szCs w:val="20"/>
        </w:rPr>
        <w:t xml:space="preserve"> залогов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3165C">
        <w:rPr>
          <w:rFonts w:ascii="Times New Roman" w:hAnsi="Times New Roman" w:cs="Times New Roman"/>
          <w:sz w:val="20"/>
          <w:szCs w:val="20"/>
        </w:rPr>
        <w:t xml:space="preserve"> стоимост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3165C">
        <w:rPr>
          <w:rFonts w:ascii="Times New Roman" w:hAnsi="Times New Roman" w:cs="Times New Roman"/>
          <w:sz w:val="20"/>
          <w:szCs w:val="20"/>
        </w:rPr>
        <w:t xml:space="preserve"> недвижимого имущества, на которое </w:t>
      </w:r>
      <w:r>
        <w:rPr>
          <w:rFonts w:ascii="Times New Roman" w:hAnsi="Times New Roman" w:cs="Times New Roman"/>
          <w:sz w:val="20"/>
          <w:szCs w:val="20"/>
        </w:rPr>
        <w:t>Кредитор</w:t>
      </w:r>
      <w:r w:rsidRPr="00A3165C">
        <w:rPr>
          <w:rFonts w:ascii="Times New Roman" w:hAnsi="Times New Roman" w:cs="Times New Roman"/>
          <w:sz w:val="20"/>
          <w:szCs w:val="20"/>
        </w:rPr>
        <w:t xml:space="preserve"> может обратить взыскание </w:t>
      </w:r>
      <w:r w:rsidRPr="00A3165C">
        <w:rPr>
          <w:rFonts w:ascii="Times New Roman" w:hAnsi="Times New Roman" w:cs="Times New Roman"/>
          <w:iCs/>
          <w:sz w:val="20"/>
          <w:szCs w:val="20"/>
        </w:rPr>
        <w:t xml:space="preserve">преимущественно перед другими кредиторами, в случае неисполнения </w:t>
      </w:r>
      <w:r w:rsidR="00913713">
        <w:rPr>
          <w:rFonts w:ascii="Times New Roman" w:hAnsi="Times New Roman" w:cs="Times New Roman"/>
          <w:iCs/>
          <w:sz w:val="20"/>
          <w:szCs w:val="20"/>
        </w:rPr>
        <w:t>Заемщиком</w:t>
      </w:r>
      <w:r w:rsidRPr="00A3165C">
        <w:rPr>
          <w:rFonts w:ascii="Times New Roman" w:hAnsi="Times New Roman" w:cs="Times New Roman"/>
          <w:iCs/>
          <w:sz w:val="20"/>
          <w:szCs w:val="20"/>
        </w:rPr>
        <w:t xml:space="preserve"> условий Кредитного соглашения</w:t>
      </w:r>
      <w:r w:rsidR="00913713" w:rsidRPr="0091371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13713" w:rsidRPr="00820E41">
        <w:rPr>
          <w:rFonts w:ascii="Times New Roman" w:hAnsi="Times New Roman" w:cs="Times New Roman"/>
          <w:iCs/>
          <w:sz w:val="20"/>
          <w:szCs w:val="20"/>
        </w:rPr>
        <w:t>№110100/1167 от 03.12.2010, заключенного между ВЭБ.РФ и АО «БоАЗ»</w:t>
      </w:r>
      <w:r w:rsidR="00913713">
        <w:rPr>
          <w:rFonts w:ascii="Times New Roman" w:hAnsi="Times New Roman" w:cs="Times New Roman"/>
          <w:iCs/>
          <w:sz w:val="20"/>
          <w:szCs w:val="20"/>
        </w:rPr>
        <w:t xml:space="preserve"> (далее – Кредитное соглашение)</w:t>
      </w:r>
      <w:r w:rsidR="00913713" w:rsidRPr="00820E41">
        <w:rPr>
          <w:rFonts w:ascii="Times New Roman" w:hAnsi="Times New Roman" w:cs="Times New Roman"/>
          <w:iCs/>
          <w:sz w:val="20"/>
          <w:szCs w:val="20"/>
        </w:rPr>
        <w:t>.</w:t>
      </w:r>
      <w:r w:rsidRPr="00A3165C">
        <w:rPr>
          <w:rFonts w:ascii="Times New Roman" w:hAnsi="Times New Roman" w:cs="Times New Roman"/>
          <w:iCs/>
          <w:sz w:val="20"/>
          <w:szCs w:val="20"/>
        </w:rPr>
        <w:t xml:space="preserve"> Таким образом, перечень имущества, которым Общество не имеет возможности распоряжаться без согласия </w:t>
      </w:r>
      <w:r>
        <w:rPr>
          <w:rFonts w:ascii="Times New Roman" w:hAnsi="Times New Roman" w:cs="Times New Roman"/>
          <w:iCs/>
          <w:sz w:val="20"/>
          <w:szCs w:val="20"/>
        </w:rPr>
        <w:t>Кредитора</w:t>
      </w:r>
      <w:r w:rsidR="00913713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 xml:space="preserve"> изменяется</w:t>
      </w:r>
      <w:r w:rsidRPr="00A3165C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F8311B" w:rsidRPr="00820E41" w:rsidRDefault="00F8311B" w:rsidP="00820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0E41">
        <w:rPr>
          <w:rFonts w:ascii="Times New Roman" w:hAnsi="Times New Roman" w:cs="Times New Roman"/>
          <w:sz w:val="20"/>
          <w:szCs w:val="20"/>
        </w:rPr>
        <w:t xml:space="preserve">Какие-либо риски, вызванные невозможностью распоряжаться заложенным </w:t>
      </w:r>
      <w:r w:rsidR="00913713">
        <w:rPr>
          <w:rFonts w:ascii="Times New Roman" w:hAnsi="Times New Roman" w:cs="Times New Roman"/>
          <w:sz w:val="20"/>
          <w:szCs w:val="20"/>
        </w:rPr>
        <w:t>и</w:t>
      </w:r>
      <w:r w:rsidRPr="00820E41">
        <w:rPr>
          <w:rFonts w:ascii="Times New Roman" w:hAnsi="Times New Roman" w:cs="Times New Roman"/>
          <w:sz w:val="20"/>
          <w:szCs w:val="20"/>
        </w:rPr>
        <w:t>муществом, отсутствуют.</w:t>
      </w:r>
    </w:p>
    <w:p w:rsidR="00F8311B" w:rsidRPr="00820E41" w:rsidRDefault="00F8311B" w:rsidP="00820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20E41">
        <w:rPr>
          <w:rFonts w:ascii="Times New Roman" w:hAnsi="Times New Roman" w:cs="Times New Roman"/>
          <w:sz w:val="20"/>
          <w:szCs w:val="20"/>
        </w:rPr>
        <w:t>Выполняя требования условий Кредитного соглашения (заключая Дополнение)</w:t>
      </w:r>
      <w:r w:rsidR="00913713">
        <w:rPr>
          <w:rFonts w:ascii="Times New Roman" w:hAnsi="Times New Roman" w:cs="Times New Roman"/>
          <w:sz w:val="20"/>
          <w:szCs w:val="20"/>
        </w:rPr>
        <w:t>,</w:t>
      </w:r>
      <w:r w:rsidRPr="00820E41">
        <w:rPr>
          <w:rFonts w:ascii="Times New Roman" w:hAnsi="Times New Roman" w:cs="Times New Roman"/>
          <w:sz w:val="20"/>
          <w:szCs w:val="20"/>
        </w:rPr>
        <w:t xml:space="preserve"> Общество исключает риск наступления негативных последствий, указанных в Кредитном соглашении. Какие-либо риски </w:t>
      </w:r>
      <w:r w:rsidRPr="00820E41">
        <w:rPr>
          <w:rFonts w:ascii="Times New Roman" w:hAnsi="Times New Roman" w:cs="Times New Roman"/>
          <w:iCs/>
          <w:sz w:val="20"/>
          <w:szCs w:val="20"/>
        </w:rPr>
        <w:t>для деятельности Общества,</w:t>
      </w:r>
      <w:r w:rsidRPr="00820E41">
        <w:rPr>
          <w:rFonts w:ascii="Times New Roman" w:hAnsi="Times New Roman" w:cs="Times New Roman"/>
          <w:sz w:val="20"/>
          <w:szCs w:val="20"/>
        </w:rPr>
        <w:t xml:space="preserve"> вызванные </w:t>
      </w:r>
      <w:r w:rsidRPr="00820E41">
        <w:rPr>
          <w:rFonts w:ascii="Times New Roman" w:hAnsi="Times New Roman" w:cs="Times New Roman"/>
          <w:iCs/>
          <w:sz w:val="20"/>
          <w:szCs w:val="20"/>
        </w:rPr>
        <w:t>заключением Дополнения отсутствуют.</w:t>
      </w:r>
    </w:p>
    <w:p w:rsidR="00F8311B" w:rsidRPr="00820E41" w:rsidRDefault="00F8311B" w:rsidP="00820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820E41" w:rsidRDefault="00913713" w:rsidP="00820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Целесообразность заключения С</w:t>
      </w:r>
      <w:r w:rsidR="004B4B96" w:rsidRPr="00820E41">
        <w:rPr>
          <w:rFonts w:ascii="Times New Roman" w:hAnsi="Times New Roman" w:cs="Times New Roman"/>
          <w:b/>
          <w:sz w:val="20"/>
          <w:szCs w:val="20"/>
        </w:rPr>
        <w:t>делки:</w:t>
      </w:r>
    </w:p>
    <w:p w:rsidR="00A245D2" w:rsidRPr="00820E41" w:rsidRDefault="004B4B96" w:rsidP="00820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0E41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820E41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820E41">
        <w:rPr>
          <w:rFonts w:ascii="Times New Roman" w:hAnsi="Times New Roman" w:cs="Times New Roman"/>
          <w:sz w:val="20"/>
          <w:szCs w:val="20"/>
        </w:rPr>
        <w:t xml:space="preserve"> целесообразным </w:t>
      </w:r>
      <w:r w:rsidR="00CB70C4" w:rsidRPr="00913713">
        <w:rPr>
          <w:rFonts w:ascii="Times New Roman" w:hAnsi="Times New Roman" w:cs="Times New Roman"/>
          <w:sz w:val="20"/>
          <w:szCs w:val="20"/>
        </w:rPr>
        <w:t xml:space="preserve">заключение крупной сделки на условиях, указанных в бюллетене (формулировке решения) для голосования на </w:t>
      </w:r>
      <w:r w:rsidR="00DE24A8" w:rsidRPr="00913713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913713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</w:t>
      </w:r>
      <w:r w:rsidR="00537200" w:rsidRPr="00913713">
        <w:rPr>
          <w:rFonts w:ascii="Times New Roman" w:hAnsi="Times New Roman" w:cs="Times New Roman"/>
          <w:sz w:val="20"/>
          <w:szCs w:val="20"/>
        </w:rPr>
        <w:t>«</w:t>
      </w:r>
      <w:r w:rsidR="00DA103A">
        <w:rPr>
          <w:rFonts w:ascii="Times New Roman" w:hAnsi="Times New Roman" w:cs="Times New Roman"/>
          <w:sz w:val="20"/>
          <w:szCs w:val="20"/>
        </w:rPr>
        <w:t>06</w:t>
      </w:r>
      <w:bookmarkStart w:id="0" w:name="_GoBack"/>
      <w:bookmarkEnd w:id="0"/>
      <w:r w:rsidR="00537200" w:rsidRPr="00913713">
        <w:rPr>
          <w:rFonts w:ascii="Times New Roman" w:hAnsi="Times New Roman" w:cs="Times New Roman"/>
          <w:sz w:val="20"/>
          <w:szCs w:val="20"/>
        </w:rPr>
        <w:t>»</w:t>
      </w:r>
      <w:r w:rsidR="00913713" w:rsidRPr="00913713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421F01" w:rsidRPr="00913713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913713">
        <w:rPr>
          <w:rFonts w:ascii="Times New Roman" w:hAnsi="Times New Roman" w:cs="Times New Roman"/>
          <w:sz w:val="20"/>
          <w:szCs w:val="20"/>
        </w:rPr>
        <w:t>20</w:t>
      </w:r>
      <w:r w:rsidR="00F22DAE" w:rsidRPr="00913713">
        <w:rPr>
          <w:rFonts w:ascii="Times New Roman" w:hAnsi="Times New Roman" w:cs="Times New Roman"/>
          <w:sz w:val="20"/>
          <w:szCs w:val="20"/>
        </w:rPr>
        <w:t>2</w:t>
      </w:r>
      <w:r w:rsidR="00421F01" w:rsidRPr="00913713">
        <w:rPr>
          <w:rFonts w:ascii="Times New Roman" w:hAnsi="Times New Roman" w:cs="Times New Roman"/>
          <w:sz w:val="20"/>
          <w:szCs w:val="20"/>
        </w:rPr>
        <w:t>2</w:t>
      </w:r>
      <w:r w:rsidR="00CB70C4" w:rsidRPr="00913713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DE24A8" w:rsidRPr="00913713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913713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(последующего одобрения) на заключение сделки.</w:t>
      </w:r>
    </w:p>
    <w:sectPr w:rsidR="00A245D2" w:rsidRPr="00820E41" w:rsidSect="00B67FCC">
      <w:pgSz w:w="11906" w:h="16838"/>
      <w:pgMar w:top="426" w:right="707" w:bottom="284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53" w:rsidRDefault="00994F53" w:rsidP="00B34F3C">
      <w:pPr>
        <w:spacing w:after="0" w:line="240" w:lineRule="auto"/>
      </w:pPr>
      <w:r>
        <w:separator/>
      </w:r>
    </w:p>
  </w:endnote>
  <w:endnote w:type="continuationSeparator" w:id="0">
    <w:p w:rsidR="00994F53" w:rsidRDefault="00994F53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53" w:rsidRDefault="00994F53" w:rsidP="00B34F3C">
      <w:pPr>
        <w:spacing w:after="0" w:line="240" w:lineRule="auto"/>
      </w:pPr>
      <w:r>
        <w:separator/>
      </w:r>
    </w:p>
  </w:footnote>
  <w:footnote w:type="continuationSeparator" w:id="0">
    <w:p w:rsidR="00994F53" w:rsidRDefault="00994F53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 w15:restartNumberingAfterBreak="0">
    <w:nsid w:val="047B1289"/>
    <w:multiLevelType w:val="hybridMultilevel"/>
    <w:tmpl w:val="A160567A"/>
    <w:lvl w:ilvl="0" w:tplc="CDEA2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 w15:restartNumberingAfterBreak="0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20F2C"/>
    <w:rsid w:val="00032FBB"/>
    <w:rsid w:val="0004422A"/>
    <w:rsid w:val="0004547C"/>
    <w:rsid w:val="000511CC"/>
    <w:rsid w:val="00084542"/>
    <w:rsid w:val="000900E1"/>
    <w:rsid w:val="00095DEC"/>
    <w:rsid w:val="000A591D"/>
    <w:rsid w:val="000C16BC"/>
    <w:rsid w:val="000C2202"/>
    <w:rsid w:val="000D1A16"/>
    <w:rsid w:val="000E015D"/>
    <w:rsid w:val="001204DC"/>
    <w:rsid w:val="00127BE6"/>
    <w:rsid w:val="00135080"/>
    <w:rsid w:val="001603A7"/>
    <w:rsid w:val="0019790B"/>
    <w:rsid w:val="001A73C1"/>
    <w:rsid w:val="001B23B1"/>
    <w:rsid w:val="001B5930"/>
    <w:rsid w:val="001B74F5"/>
    <w:rsid w:val="001C0070"/>
    <w:rsid w:val="001D474E"/>
    <w:rsid w:val="002122CD"/>
    <w:rsid w:val="002217D8"/>
    <w:rsid w:val="00230D14"/>
    <w:rsid w:val="002478EF"/>
    <w:rsid w:val="00250771"/>
    <w:rsid w:val="00251A6E"/>
    <w:rsid w:val="00265E4C"/>
    <w:rsid w:val="00266716"/>
    <w:rsid w:val="00281C96"/>
    <w:rsid w:val="00285999"/>
    <w:rsid w:val="00293BE8"/>
    <w:rsid w:val="00295A05"/>
    <w:rsid w:val="002A6963"/>
    <w:rsid w:val="002D1FC7"/>
    <w:rsid w:val="002F4764"/>
    <w:rsid w:val="00317033"/>
    <w:rsid w:val="0033467E"/>
    <w:rsid w:val="00340331"/>
    <w:rsid w:val="0035148E"/>
    <w:rsid w:val="0035198D"/>
    <w:rsid w:val="00352F6A"/>
    <w:rsid w:val="00362F16"/>
    <w:rsid w:val="0036476A"/>
    <w:rsid w:val="003672A5"/>
    <w:rsid w:val="00382AA7"/>
    <w:rsid w:val="003A456C"/>
    <w:rsid w:val="003A7E53"/>
    <w:rsid w:val="003C5610"/>
    <w:rsid w:val="003D1156"/>
    <w:rsid w:val="003D68F6"/>
    <w:rsid w:val="003D71CF"/>
    <w:rsid w:val="004079EE"/>
    <w:rsid w:val="004115C6"/>
    <w:rsid w:val="00416AF3"/>
    <w:rsid w:val="00421F01"/>
    <w:rsid w:val="00425B90"/>
    <w:rsid w:val="00444E10"/>
    <w:rsid w:val="00444E96"/>
    <w:rsid w:val="00447468"/>
    <w:rsid w:val="00450200"/>
    <w:rsid w:val="004855FC"/>
    <w:rsid w:val="0049749E"/>
    <w:rsid w:val="004B1F3A"/>
    <w:rsid w:val="004B3E79"/>
    <w:rsid w:val="004B4B96"/>
    <w:rsid w:val="004C6648"/>
    <w:rsid w:val="004D7CFA"/>
    <w:rsid w:val="004E1612"/>
    <w:rsid w:val="004E5E81"/>
    <w:rsid w:val="004F17DB"/>
    <w:rsid w:val="00536C2B"/>
    <w:rsid w:val="00537200"/>
    <w:rsid w:val="00541B68"/>
    <w:rsid w:val="00542C1D"/>
    <w:rsid w:val="00571B42"/>
    <w:rsid w:val="00575FBB"/>
    <w:rsid w:val="00584983"/>
    <w:rsid w:val="0058566B"/>
    <w:rsid w:val="005875E7"/>
    <w:rsid w:val="00591C9B"/>
    <w:rsid w:val="00591CDA"/>
    <w:rsid w:val="005A5DC1"/>
    <w:rsid w:val="005C7743"/>
    <w:rsid w:val="005E3FD7"/>
    <w:rsid w:val="005E62E5"/>
    <w:rsid w:val="005F24A8"/>
    <w:rsid w:val="00602317"/>
    <w:rsid w:val="00602506"/>
    <w:rsid w:val="006037E4"/>
    <w:rsid w:val="00612480"/>
    <w:rsid w:val="006439DA"/>
    <w:rsid w:val="0066068F"/>
    <w:rsid w:val="00666E2B"/>
    <w:rsid w:val="006767BD"/>
    <w:rsid w:val="00681893"/>
    <w:rsid w:val="006825C6"/>
    <w:rsid w:val="00686C3E"/>
    <w:rsid w:val="006A5152"/>
    <w:rsid w:val="006B55A0"/>
    <w:rsid w:val="006E2020"/>
    <w:rsid w:val="006F1122"/>
    <w:rsid w:val="006F262D"/>
    <w:rsid w:val="006F72E7"/>
    <w:rsid w:val="00703F92"/>
    <w:rsid w:val="00705272"/>
    <w:rsid w:val="00717656"/>
    <w:rsid w:val="00750BBC"/>
    <w:rsid w:val="007614C9"/>
    <w:rsid w:val="00763684"/>
    <w:rsid w:val="00771458"/>
    <w:rsid w:val="00775A1C"/>
    <w:rsid w:val="00776801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0E41"/>
    <w:rsid w:val="008210FF"/>
    <w:rsid w:val="00822446"/>
    <w:rsid w:val="00825DC0"/>
    <w:rsid w:val="008307D4"/>
    <w:rsid w:val="00835EC0"/>
    <w:rsid w:val="00835F8E"/>
    <w:rsid w:val="0084014A"/>
    <w:rsid w:val="00844602"/>
    <w:rsid w:val="00856790"/>
    <w:rsid w:val="00864C38"/>
    <w:rsid w:val="00885E5E"/>
    <w:rsid w:val="00886CA8"/>
    <w:rsid w:val="00887E67"/>
    <w:rsid w:val="00894FB6"/>
    <w:rsid w:val="008A0B1E"/>
    <w:rsid w:val="008B1E96"/>
    <w:rsid w:val="008B6638"/>
    <w:rsid w:val="008B7CC2"/>
    <w:rsid w:val="008D4659"/>
    <w:rsid w:val="008D60DB"/>
    <w:rsid w:val="008D6961"/>
    <w:rsid w:val="008D6F12"/>
    <w:rsid w:val="008E3861"/>
    <w:rsid w:val="008F0226"/>
    <w:rsid w:val="008F6B06"/>
    <w:rsid w:val="009049AA"/>
    <w:rsid w:val="00913713"/>
    <w:rsid w:val="0094113E"/>
    <w:rsid w:val="0098270C"/>
    <w:rsid w:val="00982D1D"/>
    <w:rsid w:val="0098505C"/>
    <w:rsid w:val="00994F53"/>
    <w:rsid w:val="009A2B7E"/>
    <w:rsid w:val="009A61C6"/>
    <w:rsid w:val="009E4DB4"/>
    <w:rsid w:val="009F647A"/>
    <w:rsid w:val="00A11235"/>
    <w:rsid w:val="00A16DB2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87795"/>
    <w:rsid w:val="00A91A96"/>
    <w:rsid w:val="00A93A25"/>
    <w:rsid w:val="00AA507D"/>
    <w:rsid w:val="00AC226E"/>
    <w:rsid w:val="00AD7FD4"/>
    <w:rsid w:val="00AE4B77"/>
    <w:rsid w:val="00AE5DB0"/>
    <w:rsid w:val="00B1229B"/>
    <w:rsid w:val="00B27B78"/>
    <w:rsid w:val="00B27BBF"/>
    <w:rsid w:val="00B32CB8"/>
    <w:rsid w:val="00B333A8"/>
    <w:rsid w:val="00B34F3C"/>
    <w:rsid w:val="00B37284"/>
    <w:rsid w:val="00B4223C"/>
    <w:rsid w:val="00B47CB4"/>
    <w:rsid w:val="00B607B1"/>
    <w:rsid w:val="00B67FCC"/>
    <w:rsid w:val="00B84917"/>
    <w:rsid w:val="00BB3FDB"/>
    <w:rsid w:val="00BB5AE2"/>
    <w:rsid w:val="00BC750A"/>
    <w:rsid w:val="00BD4E03"/>
    <w:rsid w:val="00BD7C7C"/>
    <w:rsid w:val="00BE49AF"/>
    <w:rsid w:val="00C03A09"/>
    <w:rsid w:val="00C042D1"/>
    <w:rsid w:val="00C17003"/>
    <w:rsid w:val="00C211CD"/>
    <w:rsid w:val="00C301B9"/>
    <w:rsid w:val="00C4273F"/>
    <w:rsid w:val="00C5522A"/>
    <w:rsid w:val="00C57EE6"/>
    <w:rsid w:val="00C6300D"/>
    <w:rsid w:val="00C705F9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07A70"/>
    <w:rsid w:val="00D1504A"/>
    <w:rsid w:val="00D3105B"/>
    <w:rsid w:val="00D35A7B"/>
    <w:rsid w:val="00D361C5"/>
    <w:rsid w:val="00D36B76"/>
    <w:rsid w:val="00D43069"/>
    <w:rsid w:val="00D55492"/>
    <w:rsid w:val="00D71E04"/>
    <w:rsid w:val="00D81366"/>
    <w:rsid w:val="00D9532C"/>
    <w:rsid w:val="00DA103A"/>
    <w:rsid w:val="00DB22BB"/>
    <w:rsid w:val="00DC41A0"/>
    <w:rsid w:val="00DC615F"/>
    <w:rsid w:val="00DC6E6B"/>
    <w:rsid w:val="00DD32C4"/>
    <w:rsid w:val="00DE24A8"/>
    <w:rsid w:val="00DF33E6"/>
    <w:rsid w:val="00DF5E83"/>
    <w:rsid w:val="00E01ABB"/>
    <w:rsid w:val="00E2282A"/>
    <w:rsid w:val="00E30322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B6913"/>
    <w:rsid w:val="00EC3756"/>
    <w:rsid w:val="00EC78FC"/>
    <w:rsid w:val="00EE4E0E"/>
    <w:rsid w:val="00EF63F0"/>
    <w:rsid w:val="00EF676F"/>
    <w:rsid w:val="00F05192"/>
    <w:rsid w:val="00F22DAE"/>
    <w:rsid w:val="00F3663D"/>
    <w:rsid w:val="00F36723"/>
    <w:rsid w:val="00F65BAF"/>
    <w:rsid w:val="00F75C1B"/>
    <w:rsid w:val="00F75FA7"/>
    <w:rsid w:val="00F81A2B"/>
    <w:rsid w:val="00F8311B"/>
    <w:rsid w:val="00F8553B"/>
    <w:rsid w:val="00F8575B"/>
    <w:rsid w:val="00F8672F"/>
    <w:rsid w:val="00F91DAC"/>
    <w:rsid w:val="00F95F83"/>
    <w:rsid w:val="00F97ADF"/>
    <w:rsid w:val="00FB4FF1"/>
    <w:rsid w:val="00FB5940"/>
    <w:rsid w:val="00FC2480"/>
    <w:rsid w:val="00FC3247"/>
    <w:rsid w:val="00FD2B3F"/>
    <w:rsid w:val="00FD2B67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B78"/>
  <w15:docId w15:val="{9DE459EB-75C3-4390-B205-F7E6511B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5F24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F2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CB5D-D85D-4262-80E1-10EA8189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Катина Анна Юрьевна</cp:lastModifiedBy>
  <cp:revision>16</cp:revision>
  <cp:lastPrinted>2019-02-20T07:06:00Z</cp:lastPrinted>
  <dcterms:created xsi:type="dcterms:W3CDTF">2022-05-18T07:40:00Z</dcterms:created>
  <dcterms:modified xsi:type="dcterms:W3CDTF">2022-07-26T16:19:00Z</dcterms:modified>
</cp:coreProperties>
</file>